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40903.xml.htm"/>
      <w:bookmarkStart w:id="1" w:name="ksform409182026_0409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Capper Joseph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TELA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GREAT VALLEY PARKWAY, SUITE 24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TELA Bio, Inc.</w:t>
              </w:r>
            </w:hyperlink>
            <w:r>
              <w:rPr/>
              <w:t xml:space="preserve"> [ </w:t>
            </w:r>
            <w:r>
              <w:rPr>
                <w:rFonts w:ascii="Times;serif" w:hAnsi="Times;serif"/>
                <w:color w:val="0000FF"/>
                <w:sz w:val="24"/>
                <w:shd w:fill="FFFFFF" w:val="clear"/>
              </w:rPr>
              <w:t>TELA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1.1653</w:t>
            </w: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154,827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1.2212</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179,827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$1.14 to $1.20. The Reporting Person undertakes to provide to the Issuer, any security holder of the Issuer, or the staff of the Securities and Exchange Commission, 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purchased in multiple transactions at prices ranging from $1.19 to $1.25. The Reporting Person undertakes to provide to the Issuer, any security holder of the Issuer, or the staff of the Securities and Exchange Commission, 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Megan Smeykal,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6817" TargetMode="External"/><Relationship Id="rId5" Type="http://schemas.openxmlformats.org/officeDocument/2006/relationships/hyperlink" Target="http://www.sec.gov/cgi-bin/browse-edgar?action=getcompany&amp;CIK=0001561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719</Words>
  <Characters>3854</Characters>
  <CharactersWithSpaces>4497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