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Capper Joseph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TELA 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TELA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TELA BIO, INC.</w:t>
      </w:r>
    </w:p>
    <w:p>
      <w:pPr>
        <w:spacing w:after="0" w:line="70"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1 GREAT VALLEY PARKWAY, SUITE 24</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MALVERN PA</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19355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Megan Smeykal,</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06/11/2026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the Chief Executive Officer, the Chief Financial Officer and the Chief Accounting Officer with full power to act as the undersigned’s true and lawful attorneys-in-fact, with full power of substitution, to:</w:t>
      </w:r>
    </w:p>
    <w:p>
      <w:pPr>
        <w:spacing w:after="0" w:line="218" w:lineRule="exact"/>
        <w:rPr>
          <w:sz w:val="20"/>
          <w:szCs w:val="20"/>
          <w:color w:val="auto"/>
        </w:rPr>
      </w:pPr>
    </w:p>
    <w:p>
      <w:pPr>
        <w:jc w:val="both"/>
        <w:ind w:left="720" w:right="720" w:hanging="360"/>
        <w:spacing w:after="0" w:line="245"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and/or beneficial owner of TELA Bio, Inc. (the “Company”), the Forms 3, 4 and 5 in accordance with Section 16(a) of the Securities Exchange Act of 1934, as amended, and the rules thereunder;</w:t>
      </w:r>
    </w:p>
    <w:p>
      <w:pPr>
        <w:spacing w:after="0" w:line="193" w:lineRule="exact"/>
        <w:rPr>
          <w:rFonts w:ascii="Times New Roman" w:cs="Times New Roman" w:eastAsia="Times New Roman" w:hAnsi="Times New Roman"/>
          <w:sz w:val="24"/>
          <w:szCs w:val="24"/>
          <w:color w:val="auto"/>
        </w:rPr>
      </w:pPr>
    </w:p>
    <w:p>
      <w:pPr>
        <w:jc w:val="both"/>
        <w:ind w:left="720" w:right="720" w:hanging="360"/>
        <w:spacing w:after="0" w:line="245"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Forms 3, 4 and 5, complete and execute any amendment or amendments thereto, and timely file such form with the United States Securities and Exchange Commission and any stock exchange or similar authority; and</w:t>
      </w:r>
    </w:p>
    <w:p>
      <w:pPr>
        <w:spacing w:after="0" w:line="193" w:lineRule="exact"/>
        <w:rPr>
          <w:rFonts w:ascii="Times New Roman" w:cs="Times New Roman" w:eastAsia="Times New Roman" w:hAnsi="Times New Roman"/>
          <w:sz w:val="24"/>
          <w:szCs w:val="24"/>
          <w:color w:val="auto"/>
        </w:rPr>
      </w:pPr>
    </w:p>
    <w:p>
      <w:pPr>
        <w:jc w:val="both"/>
        <w:ind w:left="720" w:right="720" w:hanging="360"/>
        <w:spacing w:after="0" w:line="241"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revoked by the undersigned in a signed writing delivered to the attorney-in-fact.</w:t>
      </w:r>
    </w:p>
    <w:p>
      <w:pPr>
        <w:spacing w:after="0" w:line="163"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24"/>
          <w:szCs w:val="24"/>
          <w:b w:val="1"/>
          <w:bCs w:val="1"/>
          <w:color w:val="auto"/>
        </w:rPr>
        <w:t>IN WITNESS WHEREOF</w:t>
      </w:r>
      <w:r>
        <w:rPr>
          <w:rFonts w:ascii="Times New Roman" w:cs="Times New Roman" w:eastAsia="Times New Roman" w:hAnsi="Times New Roman"/>
          <w:sz w:val="24"/>
          <w:szCs w:val="24"/>
          <w:color w:val="auto"/>
        </w:rPr>
        <w:t>, the undersigned has caused this Power of Attorney to be executed as of this 9th</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day of June, 2026.</w:t>
      </w:r>
    </w:p>
    <w:p>
      <w:pPr>
        <w:spacing w:after="0" w:line="200" w:lineRule="exact"/>
        <w:rPr>
          <w:sz w:val="20"/>
          <w:szCs w:val="20"/>
          <w:color w:val="auto"/>
        </w:rPr>
      </w:pPr>
    </w:p>
    <w:p>
      <w:pPr>
        <w:spacing w:after="0" w:line="233" w:lineRule="exact"/>
        <w:rPr>
          <w:sz w:val="20"/>
          <w:szCs w:val="20"/>
          <w:color w:val="auto"/>
        </w:rPr>
      </w:pPr>
    </w:p>
    <w:p>
      <w:pPr>
        <w:ind w:left="5040"/>
        <w:spacing w:after="0"/>
        <w:tabs>
          <w:tab w:leader="none" w:pos="5720" w:val="left"/>
        </w:tabs>
        <w:rPr>
          <w:sz w:val="20"/>
          <w:szCs w:val="20"/>
          <w:color w:val="auto"/>
        </w:rPr>
      </w:pPr>
      <w:r>
        <w:rPr>
          <w:rFonts w:ascii="Times New Roman" w:cs="Times New Roman" w:eastAsia="Times New Roman" w:hAnsi="Times New Roman"/>
          <w:sz w:val="24"/>
          <w:szCs w:val="24"/>
          <w:color w:val="auto"/>
        </w:rPr>
        <w:t>By:</w:t>
        <w:tab/>
        <w:t>/s/ Joseph Capper</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Name: Joseph Capper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ACTIVE/206507754.2</w:t>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56817" TargetMode="External"/><Relationship Id="rId11" Type="http://schemas.openxmlformats.org/officeDocument/2006/relationships/hyperlink" Target="http://www.sec.gov/cgi-bin/browse-edgar?action=getcompany&amp;CIK=0001561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2026-06-11T17:11:41Z</dcterms:created>
  <dcterms:modified xsi:type="dcterms:W3CDTF">2026-06-11T17:11:41Z</dcterms:modified>
</cp:coreProperties>
</file>