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TELA 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001-39130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45-5320061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00"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 Great Valley Parkway, Suite 24</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Malvern,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19355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(484) 320-2930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-1214120</wp:posOffset>
            </wp:positionV>
            <wp:extent cx="7132320"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9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820" w:type="dxa"/>
            <w:vAlign w:val="bottom"/>
            <w:gridSpan w:val="2"/>
            <w:vMerge w:val="restart"/>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820" w:type="dxa"/>
            <w:vAlign w:val="bottom"/>
            <w:gridSpan w:val="2"/>
            <w:vMerge w:val="continue"/>
          </w:tcPr>
          <w:p>
            <w:pPr>
              <w:spacing w:after="0"/>
              <w:rPr>
                <w:sz w:val="17"/>
                <w:szCs w:val="17"/>
                <w:color w:val="auto"/>
              </w:rPr>
            </w:pPr>
          </w:p>
        </w:tc>
        <w:tc>
          <w:tcPr>
            <w:tcW w:w="1620" w:type="dxa"/>
            <w:vAlign w:val="bottom"/>
            <w:gridSpan w:val="2"/>
          </w:tcPr>
          <w:p>
            <w:pPr>
              <w:jc w:val="center"/>
              <w:ind w:right="900"/>
              <w:spacing w:after="0" w:line="196" w:lineRule="exact"/>
              <w:rPr>
                <w:sz w:val="20"/>
                <w:szCs w:val="20"/>
                <w:color w:val="auto"/>
              </w:rPr>
            </w:pPr>
            <w:r>
              <w:rPr>
                <w:rFonts w:ascii="Times New Roman" w:cs="Times New Roman" w:eastAsia="Times New Roman" w:hAnsi="Times New Roman"/>
                <w:sz w:val="18"/>
                <w:szCs w:val="18"/>
                <w:b w:val="1"/>
                <w:bCs w:val="1"/>
                <w:color w:val="auto"/>
                <w:w w:val="93"/>
              </w:rPr>
              <w:t>Symbol(s)</w:t>
            </w:r>
          </w:p>
        </w:tc>
        <w:tc>
          <w:tcPr>
            <w:tcW w:w="900" w:type="dxa"/>
            <w:vAlign w:val="bottom"/>
          </w:tcPr>
          <w:p>
            <w:pPr>
              <w:spacing w:after="0"/>
              <w:rPr>
                <w:sz w:val="17"/>
                <w:szCs w:val="17"/>
                <w:color w:val="auto"/>
              </w:rPr>
            </w:pPr>
          </w:p>
        </w:tc>
        <w:tc>
          <w:tcPr>
            <w:tcW w:w="25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2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TELA</w:t>
            </w:r>
          </w:p>
        </w:tc>
        <w:tc>
          <w:tcPr>
            <w:tcW w:w="900" w:type="dxa"/>
            <w:vAlign w:val="bottom"/>
          </w:tcPr>
          <w:p>
            <w:pPr>
              <w:spacing w:after="0"/>
              <w:rPr>
                <w:sz w:val="20"/>
                <w:szCs w:val="20"/>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On June 9, 2026, at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TELA Bio,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Company’s stockholders approved the amendment (the “</w:t>
      </w:r>
      <w:r>
        <w:rPr>
          <w:rFonts w:ascii="Times New Roman" w:cs="Times New Roman" w:eastAsia="Times New Roman" w:hAnsi="Times New Roman"/>
          <w:sz w:val="18"/>
          <w:szCs w:val="18"/>
          <w:b w:val="1"/>
          <w:bCs w:val="1"/>
          <w:i w:val="1"/>
          <w:iCs w:val="1"/>
          <w:color w:val="auto"/>
        </w:rPr>
        <w:t>Plan Amendment</w:t>
      </w:r>
      <w:r>
        <w:rPr>
          <w:rFonts w:ascii="Times New Roman" w:cs="Times New Roman" w:eastAsia="Times New Roman" w:hAnsi="Times New Roman"/>
          <w:sz w:val="18"/>
          <w:szCs w:val="18"/>
          <w:color w:val="auto"/>
        </w:rPr>
        <w:t>”) to the Company’s Amended and Restated 2019 Equity Incentive Plan, as amended (the “</w:t>
      </w:r>
      <w:r>
        <w:rPr>
          <w:rFonts w:ascii="Times New Roman" w:cs="Times New Roman" w:eastAsia="Times New Roman" w:hAnsi="Times New Roman"/>
          <w:sz w:val="18"/>
          <w:szCs w:val="18"/>
          <w:b w:val="1"/>
          <w:bCs w:val="1"/>
          <w:i w:val="1"/>
          <w:iCs w:val="1"/>
          <w:color w:val="auto"/>
        </w:rPr>
        <w:t>A&amp;R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among other things, increase the authorized shares issuable under the A&amp;R 2019 Plan by 3,500,000 shares. The Plan Amendment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been approved, subject to stockholder approval,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Plan Amendment became effective immediately upon stockholder approval at the Annual Meeting.</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of the Plan Amendment is contained in the Company’s Definitive Proxy Statement for the Annual Meeting filed with the Securities and Exchange Commission on April 30,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The foregoing description of the Plan Amendment and the summary contained in the Proxy Statement do not purport to be complete and are qualified in their entirety by reference to the full text of the Plan Amendment, which is filed as Exhibit 10.1 to this Current Report on Form 8-K.</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April 24, 2026, the record date for the Annual Meeting, there were 44,765,928 outstanding shares of the Company’s common stock, par value $0.001 per share. The Annual Meeting was conducted virtually, and the following is a brief description of the final voting results for each of the proposals submitted to a vote of the stockholders at the Annual Meeting, which are described in detail in the Company’s Proxy Statement.</w:t>
      </w:r>
    </w:p>
    <w:p>
      <w:pPr>
        <w:spacing w:after="0" w:line="174"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Proposal 1 - Election of Class I Directors</w:t>
      </w:r>
      <w:r>
        <w:rPr>
          <w:rFonts w:ascii="Times New Roman" w:cs="Times New Roman" w:eastAsia="Times New Roman" w:hAnsi="Times New Roman"/>
          <w:sz w:val="18"/>
          <w:szCs w:val="18"/>
          <w:color w:val="auto"/>
        </w:rPr>
        <w:t>. Each of Joseph Capper, Betty Jo Rocchio and William Plovanic were elected to the Board to serve as Class I directors until the 2029 Annual Meeting of Stockholders and until their successors, if any, are elected or appointed, or their earlier death, resignation, retirement, disqualification or removal,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Joseph Capper</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27,244,482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567,207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5,650,509</w:t>
            </w: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Betty Jo Rocchio</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27,595,955</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215,734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5,650,509</w:t>
            </w: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William Plovanic</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27,497,453</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314,236</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5,650,509</w:t>
            </w:r>
          </w:p>
        </w:tc>
      </w:tr>
    </w:tbl>
    <w:p>
      <w:pPr>
        <w:spacing w:after="0" w:line="19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Proposal 2 - Ratification of Independent Registered Public Accountant</w:t>
      </w:r>
      <w:r>
        <w:rPr>
          <w:rFonts w:ascii="Times New Roman" w:cs="Times New Roman" w:eastAsia="Times New Roman" w:hAnsi="Times New Roman"/>
          <w:sz w:val="18"/>
          <w:szCs w:val="18"/>
          <w:color w:val="auto"/>
        </w:rPr>
        <w:t>. The appointment of KPMG LLP as the Company’s independent registered public accounting firm for the 2026 fiscal year was ratified,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33,443,686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17,890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Proposal 3 - Approval, on a non-binding advisory basis, of the compensation of the Company’s named executive officers.</w:t>
      </w:r>
      <w:r>
        <w:rPr>
          <w:rFonts w:ascii="Times New Roman" w:cs="Times New Roman" w:eastAsia="Times New Roman" w:hAnsi="Times New Roman"/>
          <w:sz w:val="18"/>
          <w:szCs w:val="18"/>
          <w:color w:val="auto"/>
        </w:rPr>
        <w:t xml:space="preserve"> The stockholders approved, on a non-binding advisory basis, the compensation of the Company’s named executive officers,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20,891,695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6,900,032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19,962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5,650,509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Proposal 4 - Approval of an amendment to the TELA Bio, Inc. Amended and Restated 2019 Equity Incentive Plan to, among other things,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authorized shares issuable thereunder by 3,500,000 shares. </w:t>
      </w:r>
      <w:r>
        <w:rPr>
          <w:rFonts w:ascii="Times New Roman" w:cs="Times New Roman" w:eastAsia="Times New Roman" w:hAnsi="Times New Roman"/>
          <w:sz w:val="18"/>
          <w:szCs w:val="18"/>
          <w:color w:val="auto"/>
        </w:rPr>
        <w:t>The Plan Amendment was approved,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27,256,266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538,830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16,593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5,650,509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80" w:type="dxa"/>
            <w:vAlign w:val="bottom"/>
            <w:shd w:val="clear" w:color="auto" w:fill="FEFEFE"/>
          </w:tcPr>
          <w:p>
            <w:pPr>
              <w:ind w:left="7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58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8867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8670" cy="42862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4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FEFEFE"/>
            </w:tcBorders>
            <w:shd w:val="clear" w:color="auto" w:fill="FEFEFE"/>
          </w:tcPr>
          <w:p>
            <w:pPr>
              <w:spacing w:after="0"/>
              <w:rPr>
                <w:sz w:val="19"/>
                <w:szCs w:val="19"/>
                <w:color w:val="auto"/>
              </w:rPr>
            </w:pPr>
          </w:p>
        </w:tc>
        <w:tc>
          <w:tcPr>
            <w:tcW w:w="988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12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shd w:val="clear" w:color="auto" w:fill="FEFEFE"/>
          </w:tcPr>
          <w:p>
            <w:pPr>
              <w:spacing w:after="0"/>
              <w:rPr>
                <w:sz w:val="14"/>
                <w:szCs w:val="14"/>
                <w:color w:val="auto"/>
              </w:rPr>
            </w:pPr>
          </w:p>
        </w:tc>
        <w:tc>
          <w:tcPr>
            <w:tcW w:w="9880" w:type="dxa"/>
            <w:vAlign w:val="bottom"/>
            <w:gridSpan w:val="2"/>
            <w:shd w:val="clear" w:color="auto" w:fill="FEFEFE"/>
          </w:tcPr>
          <w:p>
            <w:pPr>
              <w:spacing w:after="0" w:line="169" w:lineRule="exact"/>
              <w:rPr>
                <w:sz w:val="20"/>
                <w:szCs w:val="20"/>
                <w:color w:val="auto"/>
              </w:rPr>
            </w:pPr>
            <w:r>
              <w:rPr>
                <w:rFonts w:ascii="Times New Roman" w:cs="Times New Roman" w:eastAsia="Times New Roman" w:hAnsi="Times New Roman"/>
                <w:sz w:val="18"/>
                <w:szCs w:val="18"/>
                <w:color w:val="0000EE"/>
              </w:rPr>
              <w:t>Amendment No. 2 to TELA Bio, Inc. Amended &amp; Restated 2019 Equity Incentive Plan.</w:t>
            </w:r>
          </w:p>
        </w:tc>
      </w:tr>
      <w:tr>
        <w:trPr>
          <w:trHeight w:val="21"/>
        </w:trPr>
        <w:tc>
          <w:tcPr>
            <w:tcW w:w="4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FEFEFE"/>
            </w:tcBorders>
            <w:shd w:val="clear" w:color="auto" w:fill="FEFEFE"/>
          </w:tcPr>
          <w:p>
            <w:pPr>
              <w:spacing w:after="0" w:line="20" w:lineRule="exact"/>
              <w:rPr>
                <w:sz w:val="1"/>
                <w:szCs w:val="1"/>
                <w:color w:val="auto"/>
              </w:rPr>
            </w:pPr>
          </w:p>
        </w:tc>
        <w:tc>
          <w:tcPr>
            <w:tcW w:w="6340" w:type="dxa"/>
            <w:vAlign w:val="bottom"/>
            <w:tcBorders>
              <w:top w:val="single" w:sz="8" w:color="0000EE"/>
            </w:tcBorders>
            <w:shd w:val="clear" w:color="auto" w:fill="FEFEFE"/>
          </w:tcPr>
          <w:p>
            <w:pPr>
              <w:spacing w:after="0" w:line="20" w:lineRule="exact"/>
              <w:rPr>
                <w:sz w:val="1"/>
                <w:szCs w:val="1"/>
                <w:color w:val="auto"/>
              </w:rPr>
            </w:pPr>
          </w:p>
        </w:tc>
        <w:tc>
          <w:tcPr>
            <w:tcW w:w="3540" w:type="dxa"/>
            <w:vAlign w:val="bottom"/>
            <w:tcBorders>
              <w:top w:val="single" w:sz="8" w:color="FEFEFE"/>
            </w:tcBorders>
            <w:shd w:val="clear" w:color="auto" w:fill="FEFEF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-145415</wp:posOffset>
            </wp:positionV>
            <wp:extent cx="634365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283210"/>
                    </a:xfrm>
                    <a:prstGeom prst="rect">
                      <a:avLst/>
                    </a:prstGeom>
                    <a:noFill/>
                  </pic:spPr>
                </pic:pic>
              </a:graphicData>
            </a:graphic>
          </wp:anchor>
        </w:drawing>
      </w:r>
    </w:p>
    <w:p>
      <w:pPr>
        <w:ind w:left="1360" w:hanging="1352"/>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 BIO,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Antony Koblish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Antony Koblish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i w:val="1"/>
          <w:iCs w:val="1"/>
          <w:color w:val="auto"/>
        </w:rPr>
        <w:t>Title:</w:t>
        <w:tab/>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2019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TELA 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approved and adopted the Amended and Restated 2019 Equity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of the Company on April 20, 2020;</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and the stockholders of the Company approved and adopted that certain Amendment No. 1 to Amended and Restated 2019 Equity Incentive Plan of the Company on May 28, 2025;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and the stockholders of the Company have determined that it is in the best interest of the Company to further amend the 2019 Plan as set forth in this Amendment No. 2 (this “</w:t>
      </w:r>
      <w:r>
        <w:rPr>
          <w:rFonts w:ascii="Times New Roman" w:cs="Times New Roman" w:eastAsia="Times New Roman" w:hAnsi="Times New Roman"/>
          <w:sz w:val="18"/>
          <w:szCs w:val="18"/>
          <w:b w:val="1"/>
          <w:bCs w:val="1"/>
          <w:color w:val="auto"/>
        </w:rPr>
        <w:t>2019 Plan Amendment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2019 Plan is amended as follows:</w:t>
      </w:r>
    </w:p>
    <w:p>
      <w:pPr>
        <w:spacing w:after="0" w:line="221"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the 2019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231F20"/>
        </w:rPr>
        <w:t>Section 3(a) of the 2019 Plan is hereby amended and restated in its entirety to read as follows:</w:t>
      </w:r>
    </w:p>
    <w:p>
      <w:pPr>
        <w:spacing w:after="0" w:line="229" w:lineRule="exact"/>
        <w:rPr>
          <w:sz w:val="20"/>
          <w:szCs w:val="20"/>
          <w:color w:val="auto"/>
        </w:rPr>
      </w:pPr>
    </w:p>
    <w:p>
      <w:pPr>
        <w:jc w:val="both"/>
        <w:ind w:left="1620"/>
        <w:spacing w:after="0" w:line="253" w:lineRule="auto"/>
        <w:rPr>
          <w:sz w:val="20"/>
          <w:szCs w:val="20"/>
          <w:color w:val="auto"/>
        </w:rPr>
      </w:pPr>
      <w:r>
        <w:rPr>
          <w:rFonts w:ascii="Times New Roman" w:cs="Times New Roman" w:eastAsia="Times New Roman" w:hAnsi="Times New Roman"/>
          <w:sz w:val="18"/>
          <w:szCs w:val="18"/>
          <w:color w:val="231F20"/>
        </w:rPr>
        <w:t xml:space="preserve">“(a) </w:t>
      </w:r>
      <w:r>
        <w:rPr>
          <w:rFonts w:ascii="Times New Roman" w:cs="Times New Roman" w:eastAsia="Times New Roman" w:hAnsi="Times New Roman"/>
          <w:sz w:val="18"/>
          <w:szCs w:val="18"/>
          <w:u w:val="single" w:color="auto"/>
          <w:color w:val="231F20"/>
        </w:rPr>
        <w:t>Shares Subject to the Plan</w:t>
      </w:r>
      <w:r>
        <w:rPr>
          <w:rFonts w:ascii="Times New Roman" w:cs="Times New Roman" w:eastAsia="Times New Roman" w:hAnsi="Times New Roman"/>
          <w:sz w:val="18"/>
          <w:szCs w:val="18"/>
          <w:color w:val="231F20"/>
        </w:rPr>
        <w:t>. Subject to adjustments as provided in Section 3(c) of the Plan, the maximum number of shares that may be issued in respect of Awards under the Plan is 10,932,620 Shares (the “</w:t>
      </w:r>
      <w:r>
        <w:rPr>
          <w:rFonts w:ascii="Times New Roman" w:cs="Times New Roman" w:eastAsia="Times New Roman" w:hAnsi="Times New Roman"/>
          <w:sz w:val="18"/>
          <w:szCs w:val="18"/>
          <w:u w:val="single" w:color="auto"/>
          <w:color w:val="231F20"/>
        </w:rPr>
        <w:t>Plan Limit</w:t>
      </w:r>
      <w:r>
        <w:rPr>
          <w:rFonts w:ascii="Times New Roman" w:cs="Times New Roman" w:eastAsia="Times New Roman" w:hAnsi="Times New Roman"/>
          <w:sz w:val="18"/>
          <w:szCs w:val="18"/>
          <w:color w:val="231F20"/>
        </w:rPr>
        <w:t>”), all of which Shares may be issued in respect of Incentive Stock Options. Any Shares issued hereunder may consist, in whole or in part, of authorized and unissued Shares or treasury shares. Any Shares issued by the Company through the assumption or substitution of outstanding grants in connection with the acquisition of another entity shall not reduce the maximum number of Shares available for delivery under the Plan. Notwithstanding anything to the contrary in this Plan, the value of all Awards awarded (under this Plan and all other cash compensation paid by the Company) to any Participant in his or her capacity as a Non-Employee Director in any single calendar year shall not exceed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color w:val="231F20"/>
        </w:rPr>
        <w:t>Section 12 of the 2019 Plan is hereby amended and restated in its entirety to read as follows:</w:t>
      </w:r>
    </w:p>
    <w:p>
      <w:pPr>
        <w:spacing w:after="0" w:line="229" w:lineRule="exact"/>
        <w:rPr>
          <w:sz w:val="20"/>
          <w:szCs w:val="20"/>
          <w:color w:val="auto"/>
        </w:rPr>
      </w:pPr>
    </w:p>
    <w:p>
      <w:pPr>
        <w:jc w:val="both"/>
        <w:ind w:left="1620"/>
        <w:spacing w:after="0" w:line="255"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u w:val="single" w:color="auto"/>
          <w:color w:val="231F20"/>
        </w:rPr>
        <w:t>Prohibition on Repricing Programs</w:t>
      </w:r>
      <w:r>
        <w:rPr>
          <w:rFonts w:ascii="Times New Roman" w:cs="Times New Roman" w:eastAsia="Times New Roman" w:hAnsi="Times New Roman"/>
          <w:sz w:val="18"/>
          <w:szCs w:val="18"/>
          <w:color w:val="231F20"/>
        </w:rPr>
        <w:t>. Neither the Committee nor the Board shall (i) implement any cancellation/re-grant program pursuant to which outstanding Options or Stock Appreciation Rights under the Plan are cancelled and new Options or Stock Appreciation Rights are granted in replacement with a lower exercise or base price per share, (ii) cancel outstanding Options or Stock Appreciation Rights under the Plan with exercise prices or base prices per share in excess of the then current Fair Market Value per Share for consideration payable in cash or in equity securities of the Company or (iii) otherwise directly reduce the exercise price or base price in effect for outstanding Options or Stock Appreciation Rights under the Plan, without in each such instance obtaining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color w:val="231F20"/>
        </w:rPr>
        <w:t>Section 19 of the 2019 Plan is hereby amended and restated in its entirety to read as follows:</w:t>
      </w:r>
    </w:p>
    <w:p>
      <w:pPr>
        <w:spacing w:after="0" w:line="229" w:lineRule="exact"/>
        <w:rPr>
          <w:sz w:val="20"/>
          <w:szCs w:val="20"/>
          <w:color w:val="auto"/>
        </w:rPr>
      </w:pPr>
    </w:p>
    <w:p>
      <w:pPr>
        <w:ind w:left="1620" w:right="20"/>
        <w:spacing w:after="0" w:line="28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u w:val="single" w:color="auto"/>
          <w:color w:val="231F20"/>
        </w:rPr>
        <w:t>Section 19. Term of the Plan</w:t>
      </w:r>
      <w:r>
        <w:rPr>
          <w:rFonts w:ascii="Times New Roman" w:cs="Times New Roman" w:eastAsia="Times New Roman" w:hAnsi="Times New Roman"/>
          <w:sz w:val="18"/>
          <w:szCs w:val="18"/>
          <w:color w:val="231F20"/>
        </w:rPr>
        <w:t>. Unless the Plan shall theretofore have been terminated in accordance with Section 11, the Plan shall terminate on the 10-year anniversary of April 8, 2026, and no Awards under the Plan shall thereafter be granted.”</w:t>
      </w:r>
    </w:p>
    <w:p>
      <w:pPr>
        <w:spacing w:after="0" w:line="158"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Except as amended hereby, the 2019 Plan shall remain in full force and effect.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capitalized terms used but not specifically defined herein shall have the same meanings given such terms in the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unless the context clearly indicates or dictates a contrary meaning.</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and judicial decisions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regard to the application of the principles of conflict of laws.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ADOPTED BY BOARD OF DIRECTORS: </w:t>
            </w:r>
          </w:p>
        </w:tc>
        <w:tc>
          <w:tcPr>
            <w:tcW w:w="56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April 8, 2026</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APPROVED BY STOCKHOLDERS:</w:t>
            </w:r>
          </w:p>
        </w:tc>
        <w:tc>
          <w:tcPr>
            <w:tcW w:w="56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June 9, 2026</w:t>
            </w:r>
          </w:p>
        </w:tc>
      </w:tr>
      <w:tr>
        <w:trPr>
          <w:trHeight w:val="675"/>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2026-06-11T15:16:10Z</dcterms:created>
  <dcterms:modified xsi:type="dcterms:W3CDTF">2026-06-11T15:16:10Z</dcterms:modified>
</cp:coreProperties>
</file>