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5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7" w:lineRule="exact"/>
        <w:rPr>
          <w:sz w:val="24"/>
          <w:szCs w:val="24"/>
          <w:color w:val="auto"/>
        </w:rPr>
      </w:pPr>
    </w:p>
    <w:p>
      <w:pPr>
        <w:ind w:left="700" w:right="299" w:hanging="401"/>
        <w:spacing w:after="0" w:line="286" w:lineRule="auto"/>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74" w:lineRule="exact"/>
        <w:rPr>
          <w:sz w:val="24"/>
          <w:szCs w:val="24"/>
          <w:color w:val="auto"/>
        </w:rPr>
      </w:pPr>
    </w:p>
    <w:p>
      <w:pPr>
        <w:ind w:left="700" w:right="79" w:hanging="401"/>
        <w:spacing w:after="0" w:line="286" w:lineRule="auto"/>
        <w:tabs>
          <w:tab w:leader="none" w:pos="7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5"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001-39130</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TELA Bio,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1"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82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40" w:type="dxa"/>
            <w:vAlign w:val="bottom"/>
          </w:tcPr>
          <w:p>
            <w:pPr>
              <w:spacing w:after="0"/>
              <w:rPr>
                <w:sz w:val="13"/>
                <w:szCs w:val="13"/>
                <w:color w:val="auto"/>
              </w:rPr>
            </w:pPr>
          </w:p>
        </w:tc>
        <w:tc>
          <w:tcPr>
            <w:tcW w:w="18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45-5320061</w:t>
            </w:r>
          </w:p>
        </w:tc>
        <w:tc>
          <w:tcPr>
            <w:tcW w:w="0" w:type="dxa"/>
            <w:vAlign w:val="bottom"/>
          </w:tcPr>
          <w:p>
            <w:pPr>
              <w:spacing w:after="0"/>
              <w:rPr>
                <w:sz w:val="1"/>
                <w:szCs w:val="1"/>
                <w:color w:val="auto"/>
              </w:rPr>
            </w:pPr>
          </w:p>
        </w:tc>
      </w:tr>
      <w:tr>
        <w:trPr>
          <w:trHeight w:val="148"/>
        </w:trPr>
        <w:tc>
          <w:tcPr>
            <w:tcW w:w="2820" w:type="dxa"/>
            <w:vAlign w:val="bottom"/>
          </w:tcPr>
          <w:p>
            <w:pPr>
              <w:jc w:val="center"/>
              <w:ind w:right="46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4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820" w:type="dxa"/>
            <w:vAlign w:val="bottom"/>
          </w:tcPr>
          <w:p>
            <w:pPr>
              <w:jc w:val="center"/>
              <w:ind w:right="46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40" w:type="dxa"/>
            <w:vAlign w:val="bottom"/>
            <w:vMerge w:val="continue"/>
          </w:tcPr>
          <w:p>
            <w:pPr>
              <w:spacing w:after="0"/>
              <w:rPr>
                <w:sz w:val="16"/>
                <w:szCs w:val="16"/>
                <w:color w:val="auto"/>
              </w:rPr>
            </w:pPr>
          </w:p>
        </w:tc>
        <w:tc>
          <w:tcPr>
            <w:tcW w:w="186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55"/>
        </w:trPr>
        <w:tc>
          <w:tcPr>
            <w:tcW w:w="282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1 Great Valley Parkway, Suite 24</w:t>
            </w:r>
          </w:p>
        </w:tc>
        <w:tc>
          <w:tcPr>
            <w:tcW w:w="1440" w:type="dxa"/>
            <w:vAlign w:val="bottom"/>
          </w:tcPr>
          <w:p>
            <w:pPr>
              <w:spacing w:after="0"/>
              <w:rPr>
                <w:sz w:val="22"/>
                <w:szCs w:val="22"/>
                <w:color w:val="auto"/>
              </w:rPr>
            </w:pPr>
          </w:p>
        </w:tc>
        <w:tc>
          <w:tcPr>
            <w:tcW w:w="1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19355</w:t>
            </w:r>
          </w:p>
        </w:tc>
        <w:tc>
          <w:tcPr>
            <w:tcW w:w="0" w:type="dxa"/>
            <w:vAlign w:val="bottom"/>
          </w:tcPr>
          <w:p>
            <w:pPr>
              <w:spacing w:after="0"/>
              <w:rPr>
                <w:sz w:val="1"/>
                <w:szCs w:val="1"/>
                <w:color w:val="auto"/>
              </w:rPr>
            </w:pPr>
          </w:p>
        </w:tc>
      </w:tr>
      <w:tr>
        <w:trPr>
          <w:trHeight w:val="150"/>
        </w:trPr>
        <w:tc>
          <w:tcPr>
            <w:tcW w:w="2820" w:type="dxa"/>
            <w:vAlign w:val="bottom"/>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Malvern, Pennsylvania</w:t>
            </w:r>
          </w:p>
        </w:tc>
        <w:tc>
          <w:tcPr>
            <w:tcW w:w="14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20" w:type="dxa"/>
            <w:vAlign w:val="bottom"/>
          </w:tcPr>
          <w:p>
            <w:pPr>
              <w:jc w:val="center"/>
              <w:ind w:right="4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40" w:type="dxa"/>
            <w:vAlign w:val="bottom"/>
          </w:tcPr>
          <w:p>
            <w:pPr>
              <w:spacing w:after="0"/>
              <w:rPr>
                <w:sz w:val="16"/>
                <w:szCs w:val="16"/>
                <w:color w:val="auto"/>
              </w:rPr>
            </w:pPr>
          </w:p>
        </w:tc>
        <w:tc>
          <w:tcPr>
            <w:tcW w:w="186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(484) 320-2930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2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42" w:lineRule="exact"/>
        <w:rPr>
          <w:sz w:val="24"/>
          <w:szCs w:val="24"/>
          <w:color w:val="auto"/>
        </w:rPr>
      </w:pPr>
    </w:p>
    <w:tbl>
      <w:tblPr>
        <w:tblLayout w:type="fixed"/>
        <w:tblInd w:w="40" w:type="dxa"/>
        <w:tblCellMar>
          <w:top w:w="0" w:type="dxa"/>
          <w:left w:w="0" w:type="dxa"/>
          <w:bottom w:w="0" w:type="dxa"/>
          <w:right w:w="0" w:type="dxa"/>
        </w:tblCellMar>
      </w:tblPr>
      <w:tr>
        <w:trPr>
          <w:trHeight w:val="173"/>
        </w:trPr>
        <w:tc>
          <w:tcPr>
            <w:tcW w:w="3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20" w:type="dxa"/>
            <w:vAlign w:val="bottom"/>
          </w:tcPr>
          <w:p>
            <w:pPr>
              <w:spacing w:after="0"/>
              <w:rPr>
                <w:sz w:val="15"/>
                <w:szCs w:val="15"/>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TELA</w:t>
            </w:r>
          </w:p>
        </w:tc>
        <w:tc>
          <w:tcPr>
            <w:tcW w:w="240" w:type="dxa"/>
            <w:vAlign w:val="bottom"/>
          </w:tcPr>
          <w:p>
            <w:pPr>
              <w:spacing w:after="0"/>
              <w:rPr>
                <w:sz w:val="15"/>
                <w:szCs w:val="15"/>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54" w:lineRule="exact"/>
        <w:rPr>
          <w:sz w:val="24"/>
          <w:szCs w:val="24"/>
          <w:color w:val="auto"/>
        </w:rPr>
      </w:pPr>
    </w:p>
    <w:p>
      <w:pPr>
        <w:ind w:left="60" w:right="279"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 w:lineRule="exact"/>
        <w:rPr>
          <w:sz w:val="24"/>
          <w:szCs w:val="24"/>
          <w:color w:val="auto"/>
        </w:rPr>
      </w:pPr>
    </w:p>
    <w:p>
      <w:pPr>
        <w:ind w:left="60"/>
        <w:spacing w:after="0" w:line="188" w:lineRule="exact"/>
        <w:rPr>
          <w:sz w:val="20"/>
          <w:szCs w:val="20"/>
          <w:color w:val="auto"/>
        </w:rPr>
      </w:pPr>
      <w:r>
        <w:rPr>
          <w:rFonts w:ascii="Times New Roman" w:cs="Times New Roman" w:eastAsia="Times New Roman" w:hAnsi="Times New Roman"/>
          <w:sz w:val="14"/>
          <w:szCs w:val="14"/>
          <w:color w:val="auto"/>
        </w:rPr>
        <w:t xml:space="preserve">such filing requirements for the past 90 days.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45" w:lineRule="exact"/>
        <w:rPr>
          <w:sz w:val="24"/>
          <w:szCs w:val="24"/>
          <w:color w:val="auto"/>
        </w:rPr>
      </w:pPr>
    </w:p>
    <w:p>
      <w:pPr>
        <w:ind w:left="60" w:right="339"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w:t>
      </w:r>
    </w:p>
    <w:p>
      <w:pPr>
        <w:spacing w:after="0" w:line="1" w:lineRule="exact"/>
        <w:rPr>
          <w:sz w:val="24"/>
          <w:szCs w:val="24"/>
          <w:color w:val="auto"/>
        </w:rPr>
      </w:pPr>
    </w:p>
    <w:p>
      <w:pPr>
        <w:ind w:left="60"/>
        <w:spacing w:after="0" w:line="188" w:lineRule="exact"/>
        <w:tabs>
          <w:tab w:leader="none" w:pos="1680" w:val="left"/>
        </w:tabs>
        <w:rPr>
          <w:sz w:val="20"/>
          <w:szCs w:val="20"/>
          <w:color w:val="auto"/>
        </w:rPr>
      </w:pPr>
      <w:r>
        <w:rPr>
          <w:rFonts w:ascii="Times New Roman" w:cs="Times New Roman" w:eastAsia="Times New Roman" w:hAnsi="Times New Roman"/>
          <w:sz w:val="14"/>
          <w:szCs w:val="14"/>
          <w:color w:val="auto"/>
        </w:rPr>
        <w:t xml:space="preserve">submit such files).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Arial Unicode MS" w:cs="Arial Unicode MS" w:eastAsia="Arial Unicode MS" w:hAnsi="Arial Unicode MS"/>
          <w:sz w:val="14"/>
          <w:szCs w:val="14"/>
          <w:color w:val="auto"/>
        </w:rPr>
        <w:t xml:space="preserve">☐ </w:t>
      </w:r>
      <w:r>
        <w:rPr>
          <w:rFonts w:ascii="Times New Roman" w:cs="Times New Roman" w:eastAsia="Times New Roman" w:hAnsi="Times New Roman"/>
          <w:sz w:val="14"/>
          <w:szCs w:val="14"/>
          <w:color w:val="auto"/>
        </w:rPr>
        <w:t>No</w:t>
      </w:r>
    </w:p>
    <w:p>
      <w:pPr>
        <w:spacing w:after="0" w:line="45" w:lineRule="exact"/>
        <w:rPr>
          <w:sz w:val="24"/>
          <w:szCs w:val="24"/>
          <w:color w:val="auto"/>
        </w:rPr>
      </w:pPr>
    </w:p>
    <w:p>
      <w:pPr>
        <w:ind w:left="60" w:right="499"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1460" w:type="dxa"/>
        <w:tblCellMar>
          <w:top w:w="0" w:type="dxa"/>
          <w:left w:w="0" w:type="dxa"/>
          <w:bottom w:w="0" w:type="dxa"/>
          <w:right w:w="0" w:type="dxa"/>
        </w:tblCellMar>
      </w:tblPr>
      <w:tr>
        <w:trPr>
          <w:trHeight w:val="189"/>
        </w:trPr>
        <w:tc>
          <w:tcPr>
            <w:tcW w:w="228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tc>
        <w:tc>
          <w:tcPr>
            <w:tcW w:w="15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jc w:val="center"/>
              <w:ind w:left="548"/>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tc>
        <w:tc>
          <w:tcPr>
            <w:tcW w:w="1560" w:type="dxa"/>
            <w:vAlign w:val="bottom"/>
          </w:tcPr>
          <w:p>
            <w:pPr>
              <w:spacing w:after="0"/>
              <w:rPr>
                <w:sz w:val="14"/>
                <w:szCs w:val="14"/>
                <w:color w:val="auto"/>
              </w:rPr>
            </w:pPr>
          </w:p>
        </w:tc>
        <w:tc>
          <w:tcPr>
            <w:tcW w:w="2380" w:type="dxa"/>
            <w:vAlign w:val="bottom"/>
          </w:tcPr>
          <w:p>
            <w:pPr>
              <w:jc w:val="center"/>
              <w:ind w:left="528"/>
              <w:spacing w:after="0" w:line="162"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42"/>
        </w:trPr>
        <w:tc>
          <w:tcPr>
            <w:tcW w:w="2280" w:type="dxa"/>
            <w:vAlign w:val="bottom"/>
            <w:vMerge w:val="continue"/>
          </w:tcPr>
          <w:p>
            <w:pPr>
              <w:spacing w:after="0"/>
              <w:rPr>
                <w:sz w:val="21"/>
                <w:szCs w:val="21"/>
                <w:color w:val="auto"/>
              </w:rPr>
            </w:pPr>
          </w:p>
        </w:tc>
        <w:tc>
          <w:tcPr>
            <w:tcW w:w="1560" w:type="dxa"/>
            <w:vAlign w:val="bottom"/>
          </w:tcPr>
          <w:p>
            <w:pPr>
              <w:spacing w:after="0"/>
              <w:rPr>
                <w:sz w:val="21"/>
                <w:szCs w:val="21"/>
                <w:color w:val="auto"/>
              </w:rPr>
            </w:pPr>
          </w:p>
        </w:tc>
        <w:tc>
          <w:tcPr>
            <w:tcW w:w="2380" w:type="dxa"/>
            <w:vAlign w:val="bottom"/>
          </w:tcPr>
          <w:p>
            <w:pPr>
              <w:jc w:val="center"/>
              <w:ind w:left="548"/>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ind w:left="60" w:right="279"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left="700" w:right="959"/>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As of May 5, 2026, the registrant had 44,766,146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504190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83820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4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0"/>
                <w:szCs w:val="20"/>
                <w:color w:val="auto"/>
              </w:rPr>
            </w:pPr>
          </w:p>
        </w:tc>
      </w:tr>
      <w:tr>
        <w:trPr>
          <w:trHeight w:val="621"/>
        </w:trPr>
        <w:tc>
          <w:tcPr>
            <w:tcW w:w="20" w:type="dxa"/>
            <w:vAlign w:val="bottom"/>
          </w:tcPr>
          <w:p>
            <w:pPr>
              <w:spacing w:after="0"/>
              <w:rPr>
                <w:sz w:val="24"/>
                <w:szCs w:val="24"/>
                <w:color w:val="auto"/>
              </w:rPr>
            </w:pPr>
          </w:p>
        </w:tc>
        <w:tc>
          <w:tcPr>
            <w:tcW w:w="3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418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180" w:type="dxa"/>
            <w:vAlign w:val="bottom"/>
            <w:gridSpan w:val="2"/>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Financial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180" w:type="dxa"/>
            <w:vAlign w:val="bottom"/>
            <w:gridSpan w:val="2"/>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180" w:type="dxa"/>
            <w:vAlign w:val="bottom"/>
            <w:gridSpan w:val="2"/>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180" w:type="dxa"/>
            <w:vAlign w:val="bottom"/>
            <w:gridSpan w:val="2"/>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7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7"/>
              </w:rPr>
              <w:t>PART II OTHER INFORMATION</w:t>
            </w:r>
          </w:p>
        </w:tc>
        <w:tc>
          <w:tcPr>
            <w:tcW w:w="4480" w:type="dxa"/>
            <w:vAlign w:val="bottom"/>
            <w:gridSpan w:val="4"/>
          </w:tcPr>
          <w:p>
            <w:pPr>
              <w:spacing w:after="0"/>
              <w:rPr>
                <w:sz w:val="24"/>
                <w:szCs w:val="24"/>
                <w:color w:val="auto"/>
              </w:rPr>
            </w:pPr>
          </w:p>
        </w:tc>
        <w:tc>
          <w:tcPr>
            <w:tcW w:w="170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180" w:type="dxa"/>
            <w:vAlign w:val="bottom"/>
            <w:gridSpan w:val="2"/>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Legal Proceedings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40" w:type="dxa"/>
            <w:vAlign w:val="bottom"/>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Risk Factors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180" w:type="dxa"/>
            <w:vAlign w:val="bottom"/>
            <w:gridSpan w:val="2"/>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180" w:type="dxa"/>
            <w:vAlign w:val="bottom"/>
            <w:gridSpan w:val="2"/>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5.</w:t>
            </w:r>
          </w:p>
        </w:tc>
        <w:tc>
          <w:tcPr>
            <w:tcW w:w="180" w:type="dxa"/>
            <w:vAlign w:val="bottom"/>
            <w:gridSpan w:val="2"/>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Other Information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6.</w:t>
            </w:r>
          </w:p>
        </w:tc>
        <w:tc>
          <w:tcPr>
            <w:tcW w:w="180" w:type="dxa"/>
            <w:vAlign w:val="bottom"/>
            <w:gridSpan w:val="2"/>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Exhibits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0000EE"/>
              </w:rPr>
              <w:t>Signatures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92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80" w:type="dxa"/>
            <w:vAlign w:val="bottom"/>
            <w:gridSpan w:val="8"/>
          </w:tcPr>
          <w:p>
            <w:pPr>
              <w:jc w:val="right"/>
              <w:ind w:right="510"/>
              <w:spacing w:after="0"/>
              <w:rPr>
                <w:sz w:val="20"/>
                <w:szCs w:val="20"/>
                <w:color w:val="auto"/>
              </w:rPr>
            </w:pPr>
            <w:r>
              <w:rPr>
                <w:rFonts w:ascii="Times New Roman" w:cs="Times New Roman" w:eastAsia="Times New Roman" w:hAnsi="Times New Roman"/>
                <w:sz w:val="18"/>
                <w:szCs w:val="18"/>
                <w:color w:val="auto"/>
              </w:rPr>
              <w:t>1</w:t>
            </w: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“Quarterly Report”) and the documents incorporated by reference herein contain “forward-looking statements” within the meaning of the Private Securities Litigation Reform Act of 1995. In addition, we may, through our officers and other authorized representatives, make certain forward-looking statements in publicly released materials, both written and oral, including statements contained in filings with the Securities and Exchange Commission, press releases, and our communications with our stockholders.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Forward-looking statements are neither statements of historical facts nor assurances of future performance, but instead discuss the future of our business, operations, future financial performance, future financial condition, plans, anticipated growth strategies, anticipated or perceived trends in our business, the industry in which we operate or the broader economy, and other objectives of management. In some cases, you can identify forward-looking statements by terminology such as “aim,” “anticipate,” “assume,” “believe,” “contemplate,” “continue,” “could,” “design,” “due,” “estimate,” “expect,” “goal,” “intend,” “may,” “objective,” “plan,” “predict,” “positioned,” “potential,” “seek,” “should,” “target,” “will,” “would,” the negative of such terms, and other similar expressions although not all forward-looking statements contain these identifying words.</w:t>
      </w:r>
    </w:p>
    <w:p>
      <w:pPr>
        <w:spacing w:after="0" w:line="19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162" w:lineRule="exact"/>
        <w:rPr>
          <w:sz w:val="20"/>
          <w:szCs w:val="20"/>
          <w:color w:val="auto"/>
        </w:rPr>
      </w:pPr>
    </w:p>
    <w:p>
      <w:pPr>
        <w:ind w:left="720" w:right="61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future results of operations, financial position, research and development costs, capital requirements and our needs for additional financing;</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 (“Nasdaq”);</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and degree of market acceptance of our products;</w:t>
      </w:r>
    </w:p>
    <w:p>
      <w:pPr>
        <w:spacing w:after="0" w:line="9" w:lineRule="exact"/>
        <w:rPr>
          <w:rFonts w:ascii="Times New Roman" w:cs="Times New Roman" w:eastAsia="Times New Roman" w:hAnsi="Times New Roman"/>
          <w:sz w:val="18"/>
          <w:szCs w:val="18"/>
          <w:color w:val="auto"/>
        </w:rPr>
      </w:pPr>
    </w:p>
    <w:p>
      <w:pPr>
        <w:ind w:left="720" w:right="1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 including new products which may be perceived to negatively impact the demand for our products now or in the future;</w:t>
      </w:r>
    </w:p>
    <w:p>
      <w:pPr>
        <w:ind w:left="720" w:right="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manage and maintain our direct sales and marketing organization and to market and sell our products in the United States (“U.S.”) and Europe;</w:t>
      </w:r>
    </w:p>
    <w:p>
      <w:pPr>
        <w:ind w:left="720" w:right="1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exclusive contract manufacturer for our OviTex and OviTex PRS products, Aroa Biosurgery Ltd. (“Aroa”), in connection with the supply of product and in the development of additional products and product configurations within these products;</w:t>
      </w:r>
    </w:p>
    <w:p>
      <w:pPr>
        <w:spacing w:after="0" w:line="1"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supply chain integrity and expand our supply chain to manage increased demand for our products;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with larger competitors in our highly competitive industry;</w:t>
      </w:r>
    </w:p>
    <w:p>
      <w:pPr>
        <w:spacing w:after="0" w:line="9" w:lineRule="exact"/>
        <w:rPr>
          <w:rFonts w:ascii="Times New Roman" w:cs="Times New Roman" w:eastAsia="Times New Roman" w:hAnsi="Times New Roman"/>
          <w:sz w:val="18"/>
          <w:szCs w:val="18"/>
          <w:color w:val="auto"/>
        </w:rPr>
      </w:pPr>
    </w:p>
    <w:p>
      <w:pPr>
        <w:ind w:left="720" w:right="3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adequate levels of coverage or reimbursement for our current products and any future products we may seek to commercialize;</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our products, expand our indications and develop and commercialize additional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9" w:lineRule="exact"/>
        <w:rPr>
          <w:rFonts w:ascii="Times New Roman" w:cs="Times New Roman" w:eastAsia="Times New Roman" w:hAnsi="Times New Roman"/>
          <w:sz w:val="18"/>
          <w:szCs w:val="18"/>
          <w:color w:val="auto"/>
        </w:rPr>
      </w:pPr>
    </w:p>
    <w:p>
      <w:pPr>
        <w:ind w:left="720" w:right="1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and strategic plans for our products, technologies and business, including our implementation thereof;</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current and future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senior management and other highly qualified personnel;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to finance our planned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 for our products;</w:t>
      </w:r>
    </w:p>
    <w:p>
      <w:pPr>
        <w:spacing w:after="0" w:line="9" w:lineRule="exact"/>
        <w:rPr>
          <w:rFonts w:ascii="Times New Roman" w:cs="Times New Roman" w:eastAsia="Times New Roman" w:hAnsi="Times New Roman"/>
          <w:sz w:val="18"/>
          <w:szCs w:val="18"/>
          <w:color w:val="auto"/>
        </w:rPr>
      </w:pPr>
    </w:p>
    <w:p>
      <w:pPr>
        <w:ind w:left="720" w:right="5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or obtain regulatory approvals for our future products, or the effect of delays in commercializing or obtaining regulatory approvals;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selling prices and pricing pressures;</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including regulatory developments due to current or future changes in the U.S. presidential administration and European markets;</w:t>
      </w:r>
    </w:p>
    <w:p>
      <w:pPr>
        <w:ind w:left="720" w:right="79" w:hanging="319"/>
        <w:spacing w:after="0" w:line="26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U.S., including the Inflation Reduction Act of 2022, and measures being taken worldwide designed to reduce healthcare costs;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59" w:hanging="319"/>
        <w:spacing w:after="0" w:line="276"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decrease in frequency of surgical procedures using our products, whether through outbreak of illness or disease, cybersecurity events impacting hospital operations, potential hospital closures, labor and hospital;</w:t>
      </w:r>
    </w:p>
    <w:p>
      <w:pPr>
        <w:ind w:left="700" w:right="279" w:hanging="299"/>
        <w:spacing w:after="0" w:line="250" w:lineRule="auto"/>
        <w:tabs>
          <w:tab w:leader="none" w:pos="72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adverse safety events, restrictions on use with our products or product liability claims; and staffing shortages, supply chain disruptions to critical surgical and hospital supplies, and any applicable adverse healthcare economic factors;</w:t>
      </w:r>
    </w:p>
    <w:p>
      <w:pPr>
        <w:spacing w:after="0" w:line="1"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capital markets and other adverse macroeconomic factors, including due to inflationary pressures, interest rate and currency rate fluctuations, economic slowdown or recession, banking instability, monetary policy changes, changes in trade policies (including tariffs and trade protection measures that have been or may in the future be imposed by the U.S. or other countries), geopolitical tensions or the outbreak of hostilities or war;</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internal controls;</w:t>
      </w:r>
    </w:p>
    <w:p>
      <w:pPr>
        <w:spacing w:after="0" w:line="9" w:lineRule="exact"/>
        <w:rPr>
          <w:rFonts w:ascii="Times New Roman" w:cs="Times New Roman" w:eastAsia="Times New Roman" w:hAnsi="Times New Roman"/>
          <w:sz w:val="18"/>
          <w:szCs w:val="18"/>
          <w:color w:val="auto"/>
        </w:rPr>
      </w:pPr>
    </w:p>
    <w:p>
      <w:pPr>
        <w:ind w:left="720" w:right="4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as well as our ability to operate our business without infringing the intellectual property rights of others;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recent and any future financings, if any; and</w:t>
      </w:r>
    </w:p>
    <w:p>
      <w:pPr>
        <w:spacing w:after="0" w:line="9" w:lineRule="exact"/>
        <w:rPr>
          <w:rFonts w:ascii="Times New Roman" w:cs="Times New Roman" w:eastAsia="Times New Roman" w:hAnsi="Times New Roman"/>
          <w:sz w:val="18"/>
          <w:szCs w:val="18"/>
          <w:color w:val="auto"/>
        </w:rPr>
      </w:pPr>
    </w:p>
    <w:p>
      <w:pPr>
        <w:ind w:left="720" w:right="259" w:hanging="319"/>
        <w:spacing w:after="0" w:line="25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in our Annual Report on Form 10-K for the year ended December 31, 2025 (our “Annual Report”), our subsequent Quarterly Reports on Form 10-Q and the other documents we file with the Securities and Exchange Commission (the “SEC”).</w:t>
      </w:r>
    </w:p>
    <w:p>
      <w:pPr>
        <w:spacing w:after="0" w:line="18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w:t>
      </w:r>
    </w:p>
    <w:p>
      <w:pPr>
        <w:spacing w:after="0" w:line="18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You should refer to the section titled “Risk Factors” in our Annual Report, this Quarterly Report and any subsequent Quarterly Reports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$424 and $287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Other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44,765,928 and</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44,538,264 shares issued and outstanding at March 31, 2026 and December 31, 2025,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(excluding amortization of intangible assets)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57,256,518</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45,267,020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30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2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4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2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3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gridSpan w:val="3"/>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3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44,538,264</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403,739</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(397,561)</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305,278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3"/>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plan</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Shares withheld for employee taxes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(109,756)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300" w:type="dxa"/>
            <w:vAlign w:val="bottom"/>
          </w:tcPr>
          <w:p>
            <w:pPr>
              <w:spacing w:after="0"/>
              <w:rPr>
                <w:sz w:val="12"/>
                <w:szCs w:val="12"/>
                <w:color w:val="auto"/>
              </w:rPr>
            </w:pPr>
          </w:p>
        </w:tc>
        <w:tc>
          <w:tcPr>
            <w:tcW w:w="7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44,765,928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404,503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(409,834)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left="48"/>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gridSpan w:val="3"/>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400" w:type="dxa"/>
            <w:vAlign w:val="bottom"/>
            <w:tcBorders>
              <w:top w:val="single" w:sz="8" w:color="CCEEFF"/>
            </w:tcBorders>
            <w:gridSpan w:val="2"/>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39,395,712</w:t>
            </w: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387,059</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90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(358,730)</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28,458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Vesting of restricted stock units and exercise of stock</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198,280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options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plan</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Shares withheld for employee taxes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(66,539)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400" w:type="dxa"/>
            <w:vAlign w:val="bottom"/>
            <w:gridSpan w:val="2"/>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39,554,771</w:t>
            </w:r>
          </w:p>
        </w:tc>
        <w:tc>
          <w:tcPr>
            <w:tcW w:w="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387,986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91</w:t>
            </w:r>
          </w:p>
        </w:tc>
        <w:tc>
          <w:tcPr>
            <w:tcW w:w="2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(369,994)</w:t>
            </w:r>
          </w:p>
        </w:tc>
        <w:tc>
          <w:tcPr>
            <w:tcW w:w="160" w:type="dxa"/>
            <w:vAlign w:val="bottom"/>
            <w:gridSpan w:val="2"/>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460" w:type="dxa"/>
            <w:vAlign w:val="bottom"/>
            <w:vMerge w:val="restart"/>
          </w:tcPr>
          <w:p>
            <w:pPr>
              <w:ind w:left="6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55"/>
        </w:trPr>
        <w:tc>
          <w:tcPr>
            <w:tcW w:w="64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8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(12,273)</w:t>
            </w:r>
          </w:p>
        </w:tc>
        <w:tc>
          <w:tcPr>
            <w:tcW w:w="46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(11,264)</w:t>
            </w: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6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Depreciation expense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w:t>
            </w: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151</w:t>
            </w:r>
          </w:p>
        </w:tc>
        <w:tc>
          <w:tcPr>
            <w:tcW w:w="0" w:type="dxa"/>
            <w:vAlign w:val="bottom"/>
          </w:tcPr>
          <w:p>
            <w:pPr>
              <w:spacing w:after="0"/>
              <w:rPr>
                <w:sz w:val="1"/>
                <w:szCs w:val="1"/>
                <w:color w:val="auto"/>
              </w:rPr>
            </w:pPr>
          </w:p>
        </w:tc>
      </w:tr>
      <w:tr>
        <w:trPr>
          <w:trHeight w:val="162"/>
        </w:trPr>
        <w:tc>
          <w:tcPr>
            <w:tcW w:w="646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Amortization of intangible assets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Net changes in operating lease ROU assets and liabilities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62"/>
        </w:trPr>
        <w:tc>
          <w:tcPr>
            <w:tcW w:w="646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Inventory excess and obsolescence charge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935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630</w:t>
            </w: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320"/>
              <w:spacing w:after="0" w:line="173" w:lineRule="exact"/>
              <w:rPr>
                <w:sz w:val="20"/>
                <w:szCs w:val="20"/>
                <w:color w:val="auto"/>
              </w:rPr>
            </w:pPr>
            <w:r>
              <w:rPr>
                <w:rFonts w:ascii="Times New Roman" w:cs="Times New Roman" w:eastAsia="Times New Roman" w:hAnsi="Times New Roman"/>
                <w:sz w:val="15"/>
                <w:szCs w:val="15"/>
                <w:color w:val="auto"/>
              </w:rPr>
              <w:t>Stock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based compensation expense</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0" w:type="dxa"/>
            <w:vAlign w:val="bottom"/>
          </w:tcPr>
          <w:p>
            <w:pPr>
              <w:spacing w:after="0"/>
              <w:rPr>
                <w:sz w:val="1"/>
                <w:szCs w:val="1"/>
                <w:color w:val="auto"/>
              </w:rPr>
            </w:pPr>
          </w:p>
        </w:tc>
      </w:tr>
      <w:tr>
        <w:trPr>
          <w:trHeight w:val="162"/>
        </w:trPr>
        <w:tc>
          <w:tcPr>
            <w:tcW w:w="646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Income tax expense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Loss on disposal of fixed assets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46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Change in operating assets and liabilities: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(402)</w:t>
            </w:r>
          </w:p>
        </w:tc>
        <w:tc>
          <w:tcPr>
            <w:tcW w:w="0" w:type="dxa"/>
            <w:vAlign w:val="bottom"/>
          </w:tcPr>
          <w:p>
            <w:pPr>
              <w:spacing w:after="0"/>
              <w:rPr>
                <w:sz w:val="1"/>
                <w:szCs w:val="1"/>
                <w:color w:val="auto"/>
              </w:rPr>
            </w:pPr>
          </w:p>
        </w:tc>
      </w:tr>
      <w:tr>
        <w:trPr>
          <w:trHeight w:val="162"/>
        </w:trPr>
        <w:tc>
          <w:tcPr>
            <w:tcW w:w="646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(1,346)</w:t>
            </w: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and long-term assets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180</w:t>
            </w:r>
          </w:p>
        </w:tc>
        <w:tc>
          <w:tcPr>
            <w:tcW w:w="0" w:type="dxa"/>
            <w:vAlign w:val="bottom"/>
          </w:tcPr>
          <w:p>
            <w:pPr>
              <w:spacing w:after="0"/>
              <w:rPr>
                <w:sz w:val="1"/>
                <w:szCs w:val="1"/>
                <w:color w:val="auto"/>
              </w:rPr>
            </w:pPr>
          </w:p>
        </w:tc>
      </w:tr>
      <w:tr>
        <w:trPr>
          <w:trHeight w:val="162"/>
        </w:trPr>
        <w:tc>
          <w:tcPr>
            <w:tcW w:w="646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1,593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1,853</w:t>
            </w: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and long-term liabilities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(1,498)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(930)</w:t>
            </w:r>
          </w:p>
        </w:tc>
        <w:tc>
          <w:tcPr>
            <w:tcW w:w="0" w:type="dxa"/>
            <w:vAlign w:val="bottom"/>
          </w:tcPr>
          <w:p>
            <w:pPr>
              <w:spacing w:after="0"/>
              <w:rPr>
                <w:sz w:val="1"/>
                <w:szCs w:val="1"/>
                <w:color w:val="auto"/>
              </w:rPr>
            </w:pPr>
          </w:p>
        </w:tc>
      </w:tr>
      <w:tr>
        <w:trPr>
          <w:trHeight w:val="162"/>
        </w:trPr>
        <w:tc>
          <w:tcPr>
            <w:tcW w:w="6460" w:type="dxa"/>
            <w:vAlign w:val="bottom"/>
            <w:tcBorders>
              <w:bottom w:val="single" w:sz="8" w:color="CCEEFF"/>
            </w:tcBorders>
          </w:tcPr>
          <w:p>
            <w:pPr>
              <w:ind w:left="320"/>
              <w:spacing w:after="0" w:line="162" w:lineRule="exact"/>
              <w:rPr>
                <w:sz w:val="20"/>
                <w:szCs w:val="20"/>
                <w:color w:val="auto"/>
              </w:rPr>
            </w:pPr>
            <w:r>
              <w:rPr>
                <w:rFonts w:ascii="Times New Roman" w:cs="Times New Roman" w:eastAsia="Times New Roman" w:hAnsi="Times New Roman"/>
                <w:sz w:val="15"/>
                <w:szCs w:val="15"/>
                <w:color w:val="auto"/>
              </w:rPr>
              <w:t>Foreign currency transaction loss</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156"/>
        </w:trPr>
        <w:tc>
          <w:tcPr>
            <w:tcW w:w="6460" w:type="dxa"/>
            <w:vAlign w:val="bottom"/>
            <w:shd w:val="clear" w:color="auto" w:fill="CCEEFF"/>
          </w:tcPr>
          <w:p>
            <w:pPr>
              <w:ind w:left="640"/>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(11,170)</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(9,725)</w:t>
            </w:r>
          </w:p>
        </w:tc>
        <w:tc>
          <w:tcPr>
            <w:tcW w:w="0" w:type="dxa"/>
            <w:vAlign w:val="bottom"/>
          </w:tcPr>
          <w:p>
            <w:pPr>
              <w:spacing w:after="0"/>
              <w:rPr>
                <w:sz w:val="1"/>
                <w:szCs w:val="1"/>
                <w:color w:val="auto"/>
              </w:rPr>
            </w:pPr>
          </w:p>
        </w:tc>
      </w:tr>
      <w:tr>
        <w:trPr>
          <w:trHeight w:val="155"/>
        </w:trPr>
        <w:tc>
          <w:tcPr>
            <w:tcW w:w="64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Purchase of property and equipment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62"/>
        </w:trPr>
        <w:tc>
          <w:tcPr>
            <w:tcW w:w="6460" w:type="dxa"/>
            <w:vAlign w:val="bottom"/>
            <w:tcBorders>
              <w:bottom w:val="single" w:sz="8" w:color="CCEEFF"/>
            </w:tcBorders>
          </w:tcPr>
          <w:p>
            <w:pPr>
              <w:ind w:left="220"/>
              <w:spacing w:after="0" w:line="162" w:lineRule="exact"/>
              <w:rPr>
                <w:sz w:val="20"/>
                <w:szCs w:val="20"/>
                <w:color w:val="auto"/>
              </w:rPr>
            </w:pPr>
            <w:r>
              <w:rPr>
                <w:rFonts w:ascii="Times New Roman" w:cs="Times New Roman" w:eastAsia="Times New Roman" w:hAnsi="Times New Roman"/>
                <w:sz w:val="15"/>
                <w:szCs w:val="15"/>
                <w:color w:val="auto"/>
              </w:rPr>
              <w:t>Proceeds from the sale of product line</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309</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0" w:type="dxa"/>
            <w:vAlign w:val="bottom"/>
          </w:tcPr>
          <w:p>
            <w:pPr>
              <w:spacing w:after="0"/>
              <w:rPr>
                <w:sz w:val="1"/>
                <w:szCs w:val="1"/>
                <w:color w:val="auto"/>
              </w:rPr>
            </w:pPr>
          </w:p>
        </w:tc>
      </w:tr>
      <w:tr>
        <w:trPr>
          <w:trHeight w:val="155"/>
        </w:trPr>
        <w:tc>
          <w:tcPr>
            <w:tcW w:w="6460" w:type="dxa"/>
            <w:vAlign w:val="bottom"/>
            <w:shd w:val="clear" w:color="auto" w:fill="CCEEFF"/>
          </w:tcPr>
          <w:p>
            <w:pPr>
              <w:ind w:left="640"/>
              <w:spacing w:after="0" w:line="156" w:lineRule="exact"/>
              <w:rPr>
                <w:sz w:val="20"/>
                <w:szCs w:val="20"/>
                <w:color w:val="auto"/>
              </w:rPr>
            </w:pPr>
            <w:r>
              <w:rPr>
                <w:rFonts w:ascii="Times New Roman" w:cs="Times New Roman" w:eastAsia="Times New Roman" w:hAnsi="Times New Roman"/>
                <w:sz w:val="15"/>
                <w:szCs w:val="15"/>
                <w:color w:val="auto"/>
              </w:rPr>
              <w:t>Net cash provided by investing activities</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190</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56"/>
        </w:trPr>
        <w:tc>
          <w:tcPr>
            <w:tcW w:w="64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Payment of accrued offering costs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46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Payment of withholding taxes related to stock-based compensation to employees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(177)</w:t>
            </w:r>
          </w:p>
        </w:tc>
        <w:tc>
          <w:tcPr>
            <w:tcW w:w="0" w:type="dxa"/>
            <w:vAlign w:val="bottom"/>
          </w:tcPr>
          <w:p>
            <w:pPr>
              <w:spacing w:after="0"/>
              <w:rPr>
                <w:sz w:val="1"/>
                <w:szCs w:val="1"/>
                <w:color w:val="auto"/>
              </w:rPr>
            </w:pPr>
          </w:p>
        </w:tc>
      </w:tr>
      <w:tr>
        <w:trPr>
          <w:trHeight w:val="162"/>
        </w:trPr>
        <w:tc>
          <w:tcPr>
            <w:tcW w:w="6460" w:type="dxa"/>
            <w:vAlign w:val="bottom"/>
            <w:tcBorders>
              <w:bottom w:val="single" w:sz="8" w:color="CCEEFF"/>
            </w:tcBorders>
          </w:tcPr>
          <w:p>
            <w:pPr>
              <w:ind w:left="220"/>
              <w:spacing w:after="0" w:line="162" w:lineRule="exact"/>
              <w:rPr>
                <w:sz w:val="20"/>
                <w:szCs w:val="20"/>
                <w:color w:val="auto"/>
              </w:rPr>
            </w:pPr>
            <w:r>
              <w:rPr>
                <w:rFonts w:ascii="Times New Roman" w:cs="Times New Roman" w:eastAsia="Times New Roman" w:hAnsi="Times New Roman"/>
                <w:sz w:val="15"/>
                <w:szCs w:val="15"/>
                <w:color w:val="auto"/>
              </w:rPr>
              <w:t>Proceeds from issuance of common stock under the employee stock purchase plan</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155"/>
        </w:trPr>
        <w:tc>
          <w:tcPr>
            <w:tcW w:w="6460" w:type="dxa"/>
            <w:vAlign w:val="bottom"/>
            <w:shd w:val="clear" w:color="auto" w:fill="CCEEFF"/>
          </w:tcPr>
          <w:p>
            <w:pPr>
              <w:ind w:left="64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(298)</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55"/>
        </w:trPr>
        <w:tc>
          <w:tcPr>
            <w:tcW w:w="6460" w:type="dxa"/>
            <w:vAlign w:val="bottom"/>
            <w:tcBorders>
              <w:bottom w:val="single" w:sz="8" w:color="CCEEFF"/>
            </w:tcBorders>
          </w:tcPr>
          <w:p>
            <w:pPr>
              <w:ind w:left="640"/>
              <w:spacing w:after="0" w:line="156" w:lineRule="exact"/>
              <w:rPr>
                <w:sz w:val="20"/>
                <w:szCs w:val="20"/>
                <w:color w:val="auto"/>
              </w:rPr>
            </w:pPr>
            <w:r>
              <w:rPr>
                <w:rFonts w:ascii="Times New Roman" w:cs="Times New Roman" w:eastAsia="Times New Roman" w:hAnsi="Times New Roman"/>
                <w:sz w:val="15"/>
                <w:szCs w:val="15"/>
                <w:color w:val="auto"/>
              </w:rPr>
              <w:t>Effect of exchange rate on cash and cash equivalents</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(26)</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(134)</w:t>
            </w:r>
          </w:p>
        </w:tc>
        <w:tc>
          <w:tcPr>
            <w:tcW w:w="0" w:type="dxa"/>
            <w:vAlign w:val="bottom"/>
          </w:tcPr>
          <w:p>
            <w:pPr>
              <w:spacing w:after="0"/>
              <w:rPr>
                <w:sz w:val="1"/>
                <w:szCs w:val="1"/>
                <w:color w:val="auto"/>
              </w:rPr>
            </w:pPr>
          </w:p>
        </w:tc>
      </w:tr>
      <w:tr>
        <w:trPr>
          <w:trHeight w:val="155"/>
        </w:trPr>
        <w:tc>
          <w:tcPr>
            <w:tcW w:w="6460" w:type="dxa"/>
            <w:vAlign w:val="bottom"/>
            <w:shd w:val="clear" w:color="auto" w:fill="CCEEFF"/>
          </w:tcPr>
          <w:p>
            <w:pPr>
              <w:ind w:left="640"/>
              <w:spacing w:after="0" w:line="156" w:lineRule="exact"/>
              <w:rPr>
                <w:sz w:val="20"/>
                <w:szCs w:val="20"/>
                <w:color w:val="auto"/>
              </w:rPr>
            </w:pPr>
            <w:r>
              <w:rPr>
                <w:rFonts w:ascii="Times New Roman" w:cs="Times New Roman" w:eastAsia="Times New Roman" w:hAnsi="Times New Roman"/>
                <w:sz w:val="15"/>
                <w:szCs w:val="15"/>
                <w:color w:val="auto"/>
              </w:rPr>
              <w:t>Net decrease in cash and cash equivalents and restricted cash</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(11,304)</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(9,837)</w:t>
            </w:r>
          </w:p>
        </w:tc>
        <w:tc>
          <w:tcPr>
            <w:tcW w:w="0" w:type="dxa"/>
            <w:vAlign w:val="bottom"/>
          </w:tcPr>
          <w:p>
            <w:pPr>
              <w:spacing w:after="0"/>
              <w:rPr>
                <w:sz w:val="1"/>
                <w:szCs w:val="1"/>
                <w:color w:val="auto"/>
              </w:rPr>
            </w:pPr>
          </w:p>
        </w:tc>
      </w:tr>
      <w:tr>
        <w:trPr>
          <w:trHeight w:val="162"/>
        </w:trPr>
        <w:tc>
          <w:tcPr>
            <w:tcW w:w="646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and restricted cash, beginning of period</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51,095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52,935</w:t>
            </w:r>
          </w:p>
        </w:tc>
        <w:tc>
          <w:tcPr>
            <w:tcW w:w="0" w:type="dxa"/>
            <w:vAlign w:val="bottom"/>
          </w:tcPr>
          <w:p>
            <w:pPr>
              <w:spacing w:after="0"/>
              <w:rPr>
                <w:sz w:val="1"/>
                <w:szCs w:val="1"/>
                <w:color w:val="auto"/>
              </w:rPr>
            </w:pPr>
          </w:p>
        </w:tc>
      </w:tr>
      <w:tr>
        <w:trPr>
          <w:trHeight w:val="155"/>
        </w:trPr>
        <w:tc>
          <w:tcPr>
            <w:tcW w:w="64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and restricted cash, end of period</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39,791</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43,098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Cash paid during the period for interest</w:t>
            </w:r>
          </w:p>
        </w:tc>
        <w:tc>
          <w:tcPr>
            <w:tcW w:w="18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1,815</w:t>
            </w:r>
          </w:p>
        </w:tc>
        <w:tc>
          <w:tcPr>
            <w:tcW w:w="46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1,370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TELA Bio, Inc. (the “Company”) was incorporated in the state of Delaware on April 17, 2012 and wholly owns TELA Bio Limited, a company incorporated in the United Kingdom and is the ultimate parent of TELA Bio GmbH, a company incorporated in Germany through TELA Bio Limited. The Company is a commercial-stage medical technology company focused on providing innovative soft-tissue reconstruction solutions that optimize clinical outcomes by prioritizing the preservation and restoration of the patient’s own anatomy. OviTex Reinforced Tissue Matrix (“OviTex”), the Company’s first portfolio of products, addresses unmet needs in hernia repair and abdominal wall reconstruction by combining the benefits of biologic matrices and polymer materials while minimizing their shortcomings, at a cost-effective price. OviTex PRS Reinforced Tissue Matrix (“OviTex PRS”), the Company’s second portfolio of products, addresses unmet needs in plastic and reconstructive surgery. The Company’s principal corporate office and research facility is located in Malvern, Pennsylvania.</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Company’s operations to date have focused on commercializing products, developing and acquiring technology and assets, business planning, raising capital and organization and staffing. The Company has incurred recurring losses and negative cash flows from operations since inception and has an accumulated deficit of $409.8 million as of March 31, 2026. The Company anticipates incurring additional losses until such time, if ever, it can generate sufficient revenue from its products to cover its expenses.</w:t>
      </w:r>
    </w:p>
    <w:p>
      <w:pPr>
        <w:spacing w:after="0" w:line="183"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The operations of the Company are subject to certain risks and uncertainties including, among others, the uncertainty of product development, the impact of macroeconomic conditions, including, general economic uncertainty, inflationary pressures and the measures undertaken by various governments to address them, banking instability, monetary policy changes, changes in trade policies (including tariffs and trade protection measures that have been or may in the future be imposed by the U.S. or other countries), geopolitical tensions or the outbreak of hostilities or war, cybersecurity events affecting or disrupting normal hospital operations, constraints on the supply of critical surgical and hospital supplies necessary to facilitate the surgical procedures in which the Company’s products are utilized, technological uncertainty, commercial acceptance of any developed products, alternative competing technologies, dependence on collaborative partners, uncertainty regarding patents and proprietary rights, comprehensive government regulations, and dependence on key personnel.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Company’s complete summary of significant accounting policies can be found in “Note 3, Summary of Significant Accounting Policies” in the consolidated financial statements included in the Company’s Annual Report on Form 10-K for the year ended December 31, 2025. Any reference in these notes to applicable guidance is meant to refer to generally accepted accounting principles (“GAAP”) in the U.S. as found in the Accounting Standards Codification (“ASC”) and Accounting Standards Updates (“ASU”) promulgated by the Financial Accounting Standards Board (“FASB”).</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from the books and records of the Company in accordance with GAAP for interim financial information and Rule 10-01 of Regulation S-X promulgated by the Securities and Exchange Commission (“SEC”), which permits reduced disclosures for interim periods. All adjustments, consisting only of normal recurring adjustments, necessary for a fair presentation of the accompanying consolidated balance sheets and statements of operations and comprehensive loss, stockholders’(deficit) equity and cash flows have been made. Although these interim consolidated financial statements do not include all of the information and footnotes required for complete annual consolidated financial statements, management believes the disclosures are adequate to make the information presented not misleading. The unaudited interim results of operations and cash flows are not necessarily indicative of the results that may be expected for the full year. The unaudited interim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and footnotes should be read in conjunction with the consolidated financial statements and footnotes included in the Annual Report on Form 10-K for the year ended December 31,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contingent liabilities at the date of the consolidated financial statements and the reported amounts of revenue and expenses during the reporting period. The most significant judgments are employed in estimates used to determine the recoverability of the carrying value of the Company’s inventory. As future events and their effects cannot be determined with precision, actual results may differ significantly from these estimates.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segment which is focused on providing innovative soft-tissue reconstruction solutions that optimize clinical outcomes by prioritizing the preservation and restoration of the patient’s own anatomy. The Company’s chief operating decision maker (“CODM”) is the chief executive officer.</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segment are the same as those described in the summary of significant accounting policies. The CODM uses budget to actual forecasts and net income in assessing entity-wide operating results and deciding how to invest in the Company. The CODM is regularly provided with net loss and consolidated assets, which are reported on the consolidated statement of operations and comprehensive loss and consolidated balance sheet,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tables below summarizes the items included within net loss regularly provided to the CODM:</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(excluding amortization of intangible assets)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sales management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sales and marketing (a)</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and Legal</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general and administrative (b)</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Clinical</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and quality</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segment items (d)</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340" w:type="dxa"/>
            <w:vAlign w:val="bottom"/>
          </w:tcPr>
          <w:p>
            <w:pPr>
              <w:spacing w:after="0"/>
              <w:rPr>
                <w:sz w:val="18"/>
                <w:szCs w:val="18"/>
                <w:color w:val="auto"/>
              </w:rPr>
            </w:pPr>
          </w:p>
        </w:tc>
        <w:tc>
          <w:tcPr>
            <w:tcW w:w="106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00" w:hanging="250"/>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and marketing includes strategy, analytics and allocated facility expenses.</w:t>
      </w:r>
    </w:p>
    <w:p>
      <w:pPr>
        <w:spacing w:after="0" w:line="27" w:lineRule="exact"/>
        <w:rPr>
          <w:rFonts w:ascii="Times New Roman" w:cs="Times New Roman" w:eastAsia="Times New Roman" w:hAnsi="Times New Roman"/>
          <w:sz w:val="18"/>
          <w:szCs w:val="18"/>
          <w:color w:val="auto"/>
        </w:rPr>
      </w:pPr>
    </w:p>
    <w:p>
      <w:pPr>
        <w:ind w:left="60" w:right="339" w:hanging="10"/>
        <w:spacing w:after="0" w:line="25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includes executive, human resources, information technology and allocated facility expenses.</w:t>
      </w:r>
    </w:p>
    <w:p>
      <w:pPr>
        <w:ind w:left="300" w:hanging="250"/>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includes engineering and allocated facility expenses.</w:t>
      </w:r>
    </w:p>
    <w:p>
      <w:pPr>
        <w:spacing w:after="0" w:line="9" w:lineRule="exact"/>
        <w:rPr>
          <w:rFonts w:ascii="Times New Roman" w:cs="Times New Roman" w:eastAsia="Times New Roman" w:hAnsi="Times New Roman"/>
          <w:sz w:val="18"/>
          <w:szCs w:val="18"/>
          <w:color w:val="auto"/>
        </w:rPr>
      </w:pPr>
    </w:p>
    <w:p>
      <w:pPr>
        <w:ind w:left="60" w:right="219" w:hanging="10"/>
        <w:spacing w:after="0" w:line="25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other operating income and other expenses as disclosed in the consolidated statements of operations and comprehensive loss; interest expense, loss on extinguishment of debt, other income and income tax expense.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Restricted cash represents an amount held in an escrow deposit account, collateralizing a letter of credit for the Company’s office lease.</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all captions of cash and cash equivalents and restricted cash reported on the balance sheets that sum to the total of those same amounts shown in the statements of cash flows.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vMerge w:val="restart"/>
          </w:tcPr>
          <w:p>
            <w:pPr>
              <w:ind w:left="65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42,833</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restricted cash shown in statements of cash flows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ind w:left="60" w:right="399"/>
        <w:spacing w:after="0" w:line="273" w:lineRule="auto"/>
        <w:rPr>
          <w:sz w:val="20"/>
          <w:szCs w:val="20"/>
          <w:color w:val="auto"/>
        </w:rPr>
      </w:pPr>
      <w:r>
        <w:rPr>
          <w:rFonts w:ascii="Times New Roman" w:cs="Times New Roman" w:eastAsia="Times New Roman" w:hAnsi="Times New Roman"/>
          <w:sz w:val="17"/>
          <w:szCs w:val="17"/>
          <w:color w:val="auto"/>
        </w:rPr>
        <w:t xml:space="preserve">Under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(“ASC 606”), an entity recognizes revenue when its customer obtains control of the promised good, in an amount that reflects the consideration that the entity expects to be entitled in exchange for those goods. The Company performs the following five steps to recognize revenue under ASC</w:t>
      </w:r>
    </w:p>
    <w:p>
      <w:pPr>
        <w:spacing w:after="0" w:line="1" w:lineRule="exact"/>
        <w:rPr>
          <w:sz w:val="20"/>
          <w:szCs w:val="20"/>
          <w:color w:val="auto"/>
        </w:rPr>
      </w:pPr>
    </w:p>
    <w:p>
      <w:pPr>
        <w:ind w:left="60" w:right="119" w:hanging="10"/>
        <w:spacing w:after="0" w:line="253" w:lineRule="auto"/>
        <w:tabs>
          <w:tab w:leader="none" w:pos="4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recognizes revenue when it is probable that it will collect the consideration to which it is entitled in exchange for the goods or services that will be transferred to the customer.</w:t>
      </w:r>
    </w:p>
    <w:p>
      <w:pPr>
        <w:spacing w:after="0" w:line="187" w:lineRule="exact"/>
        <w:rPr>
          <w:sz w:val="20"/>
          <w:szCs w:val="20"/>
          <w:color w:val="auto"/>
        </w:rPr>
      </w:pPr>
    </w:p>
    <w:p>
      <w:pPr>
        <w:ind w:left="60" w:right="339"/>
        <w:spacing w:after="0" w:line="256" w:lineRule="auto"/>
        <w:rPr>
          <w:sz w:val="20"/>
          <w:szCs w:val="20"/>
          <w:color w:val="auto"/>
        </w:rPr>
      </w:pPr>
      <w:r>
        <w:rPr>
          <w:rFonts w:ascii="Times New Roman" w:cs="Times New Roman" w:eastAsia="Times New Roman" w:hAnsi="Times New Roman"/>
          <w:sz w:val="18"/>
          <w:szCs w:val="18"/>
          <w:color w:val="auto"/>
        </w:rPr>
        <w:t>A significant portion of the Company’s revenue is generated from product shipped to a customer or from consigned inventory maintained at hospitals or other surgical facilities. Revenue from the sale of consigned products is recognized when control is transferred to the customer, which occurs at the time the product is used in a surgical procedure. For product that is not held on consignment, the Company recognizes revenue when control transfers to the customer which occurs at the time the product is shipped or delivered. For all of the Company’s customer contracts, the only identified performance obligation is providing the product to the customer.</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Revenue is recognized at the estimated net sales price, which includes estimates of variable consideration. The Company enters into contracts with certain third-party payors for the payment of rebates with respect to the utilization of its products. These rebates are primarily based on contractual percentages. The Company estimates and records these rebates in the same period the related revenue is recognized, resulting in a reduction of product revenue.</w:t>
      </w:r>
    </w:p>
    <w:p>
      <w:pPr>
        <w:spacing w:after="0" w:line="18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Payment terms with customers do not exceed one year and, therefore, the Company does not account for a financing component in these arrangements. There are no incremental costs of obtaining a contract that would rise to or enhance an asset other than product costs, which are a component of inventory. The Company expenses incremental costs of obtaining a contract with a customer (e.g., sales commissions) when incurred as the period of benefit is less than one year. Fees charged to customers for shipping are recognized as revenue.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revenue disaggregated by the Company’s portfolio of products (in thousands):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80" w:type="dxa"/>
            <w:vAlign w:val="bottom"/>
            <w:tcBorders>
              <w:bottom w:val="single" w:sz="8" w:color="auto"/>
            </w:tcBorders>
          </w:tcPr>
          <w:p>
            <w:pPr>
              <w:spacing w:after="0"/>
              <w:rPr>
                <w:sz w:val="15"/>
                <w:szCs w:val="15"/>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OviTex</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OviTex PRS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18,520</w:t>
            </w:r>
          </w:p>
        </w:tc>
      </w:tr>
      <w:tr>
        <w:trPr>
          <w:trHeight w:val="20"/>
        </w:trPr>
        <w:tc>
          <w:tcPr>
            <w:tcW w:w="4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Sales outside of the U.S. were $3.7 million and $2.6 million, respectively, for the three months ended March 31, 2026 and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among market participants. Fair value determination in accordance with applicable accounting guidance requires that several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cash and cash equivalents, accounts receivable, other assets, and accounts payable are shown at cost, which approximates fair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value due to the short-term nature of these instruments. The carrying amounts of the Perceptive Term Loan Facility (as later defined) approximates fair value due to its variable interest rate.</w:t>
      </w:r>
    </w:p>
    <w:p>
      <w:pPr>
        <w:spacing w:after="0" w:line="160" w:lineRule="exact"/>
        <w:rPr>
          <w:sz w:val="20"/>
          <w:szCs w:val="20"/>
          <w:color w:val="auto"/>
        </w:rPr>
      </w:pPr>
    </w:p>
    <w:p>
      <w:pPr>
        <w:ind w:left="60" w:right="41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financial assets and liabilities measured on a recurring basis. The guidance requires fair value measurements be classified and disclosed in one of the following three categories:</w:t>
      </w:r>
    </w:p>
    <w:p>
      <w:pPr>
        <w:spacing w:after="0" w:line="173" w:lineRule="exact"/>
        <w:rPr>
          <w:sz w:val="20"/>
          <w:szCs w:val="20"/>
          <w:color w:val="auto"/>
        </w:rPr>
      </w:pPr>
    </w:p>
    <w:p>
      <w:pPr>
        <w:ind w:left="1040" w:right="79" w:hanging="315"/>
        <w:spacing w:after="0" w:line="284"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assets or liabilities.</w:t>
      </w:r>
    </w:p>
    <w:p>
      <w:pPr>
        <w:spacing w:after="0" w:line="158" w:lineRule="exact"/>
        <w:rPr>
          <w:rFonts w:ascii="Times New Roman" w:cs="Times New Roman" w:eastAsia="Times New Roman" w:hAnsi="Times New Roman"/>
          <w:sz w:val="18"/>
          <w:szCs w:val="18"/>
          <w:color w:val="auto"/>
        </w:rPr>
      </w:pPr>
    </w:p>
    <w:p>
      <w:pPr>
        <w:ind w:left="1040" w:right="579" w:hanging="315"/>
        <w:spacing w:after="0" w:line="284"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for substantially the full term of the asset or liabilities.</w:t>
      </w:r>
    </w:p>
    <w:p>
      <w:pPr>
        <w:spacing w:after="0" w:line="158" w:lineRule="exact"/>
        <w:rPr>
          <w:rFonts w:ascii="Times New Roman" w:cs="Times New Roman" w:eastAsia="Times New Roman" w:hAnsi="Times New Roman"/>
          <w:sz w:val="18"/>
          <w:szCs w:val="18"/>
          <w:color w:val="auto"/>
        </w:rPr>
      </w:pPr>
    </w:p>
    <w:p>
      <w:pPr>
        <w:ind w:left="1040" w:right="859" w:hanging="315"/>
        <w:spacing w:after="0" w:line="284"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and unobservable (i.e., supported by little or no market activity).</w:t>
      </w:r>
    </w:p>
    <w:p>
      <w:pPr>
        <w:spacing w:after="0" w:line="16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the Company’s financial assets and liabilities measured at fair value on a recurring basis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20" w:type="dxa"/>
            <w:vAlign w:val="bottom"/>
            <w:gridSpan w:val="3"/>
            <w:vMerge w:val="restart"/>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6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gridSpan w:val="2"/>
            <w:vMerge w:val="continue"/>
          </w:tcPr>
          <w:p>
            <w:pPr>
              <w:spacing w:after="0"/>
              <w:rPr>
                <w:sz w:val="15"/>
                <w:szCs w:val="15"/>
                <w:color w:val="auto"/>
              </w:rPr>
            </w:pPr>
          </w:p>
        </w:tc>
        <w:tc>
          <w:tcPr>
            <w:tcW w:w="9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gridSpan w:val="2"/>
            <w:vMerge w:val="continue"/>
          </w:tcPr>
          <w:p>
            <w:pPr>
              <w:spacing w:after="0"/>
              <w:rPr>
                <w:sz w:val="15"/>
                <w:szCs w:val="15"/>
                <w:color w:val="auto"/>
              </w:rPr>
            </w:pPr>
          </w:p>
        </w:tc>
        <w:tc>
          <w:tcPr>
            <w:tcW w:w="7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 money market fund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 money market fund</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47,068</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41"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8"/>
          <w:szCs w:val="18"/>
          <w:color w:val="auto"/>
        </w:rPr>
        <w:t>Basic and diluted net loss per common share is determined by dividing net loss by the weighted-average shares of common stock outstanding during the reporting period. In periods in which the Company reports a net loss, diluted net loss per share is the same as basic net loss per share since dilutive shares are not assumed to have been issued if their effect is antidilutive. Therefore, the weighted-average shares used to calculate both basic and diluted net loss per share are the same.</w:t>
      </w:r>
    </w:p>
    <w:p>
      <w:pPr>
        <w:spacing w:after="0" w:line="183"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for the periods presented, as they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3,543,623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2,535,298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2,024,383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 issued with credit agreement</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7,656,562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3,835,337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2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Due to their nominal exercise price of $0.0001 per share, all outstanding pre-funded warrants are considered common stock equivalents and are included in the calculation of weighted-average shares of common stock outstanding from the respective closing dates.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3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ASU 2024-03 requires additional disclosure of specific types of expenses included in the expense captions presented on the face of the income statement as well as disclosures about selling expenses. ASU 2024-03 is effective for fiscal years beginning after December 15, 2026, and interim periods beginning after December 15, 2027, with early adoption permitted. The requirements will be applied prospectively with the option for retrospective application. The Company is currently evaluating the impact that the adoption of ASU 2024-03 will have on its consolidated financial statements and disclosures.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When evaluating if a project is probable to be completed, significant development uncertainty must be assessed. Additionally, disclosures for property, plant and equipment will be required for all capitalized software costs. The guidance is effective in the first quarter of 2028 with early adoption permitted as of the beginning of an annual reporting period. Upon adoption, the guidance may be applied prospectively, retrospectively or using a modified transition approach. The Company is currently evaluating the expected impact that the standard could have on its consolidated financial statements and related disclosures.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20" w:type="dxa"/>
            <w:vAlign w:val="bottom"/>
            <w:vMerge w:val="restart"/>
          </w:tcPr>
          <w:p>
            <w:pPr>
              <w:ind w:left="66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Third-party and professional fees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manufacturer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Income/sales tax payable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(5) Long-term Debt</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20" w:type="dxa"/>
            <w:vAlign w:val="bottom"/>
            <w:vMerge w:val="restart"/>
          </w:tcPr>
          <w:p>
            <w:pPr>
              <w:ind w:left="66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Perceptive term loan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jc w:val="right"/>
              <w:ind w:right="219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8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Perceptive Term Loan</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November 13, 2025, the Company entered into a Credit Agreement and Guaranty (the “Credit Agreement”) with Perceptive Credit Holdings V, LP, as lender and administrative agent (“Perceptive”), which provides for a senior secured term loan facility in an aggregate principal amount of up to $70.0 million (the “Perceptive Term Loan Facility”). An initial loan in an aggregate principal amount of $60.0 million (the “Initial Loan”) was funded under the Perceptive Term Loan Facility on November 14, 2025 (the “Closing Date”). In addition to the Initial Loan, the Perceptive Term Loan Facility includes an additional delayed draw loan in an aggregate principal amount of $10.0 million to be available in a single drawing after the Closing Date on or prior to the Delayed Draw Commitment Termination Date (as defined in the Credit Agreement but not later than April 30, 2027) (the “Delayed Draw Loan,” together with the Initial Loan, the “Loans”), which will be accessible by the Company so long as it satisfies certain customary conditions precedent, including but not limited to, the achievement of net revenue thresholds. The Perceptive Term Loan Facility has a maturity date of November 14, 2030 (the “Maturity Date”).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Perceptive Term Loan Facility will accrue interest at an annual rate equal to the sum of (a) an applicable margin of</w:t>
      </w:r>
    </w:p>
    <w:p>
      <w:pPr>
        <w:spacing w:after="0" w:line="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7.85% (the “Applicable Margin”) plus (b) the greater of (i) the Reference Rate (as defined in the Credit Agreement) and (ii) four and one quarter percent (4.25%). Accrued interest on the Term Loans is payable monthly in arrears. Upon an Event of Default (as defined in the Credit Agreement), the Applicable Margin will automatically increase by an additional 3.00% per annum.</w:t>
      </w:r>
    </w:p>
    <w:p>
      <w:pPr>
        <w:spacing w:after="0" w:line="189" w:lineRule="exact"/>
        <w:rPr>
          <w:sz w:val="20"/>
          <w:szCs w:val="20"/>
          <w:color w:val="auto"/>
        </w:rPr>
      </w:pPr>
    </w:p>
    <w:p>
      <w:pPr>
        <w:jc w:val="both"/>
        <w:ind w:left="60" w:right="159"/>
        <w:spacing w:after="0" w:line="281" w:lineRule="auto"/>
        <w:rPr>
          <w:sz w:val="20"/>
          <w:szCs w:val="20"/>
          <w:color w:val="auto"/>
        </w:rPr>
      </w:pPr>
      <w:r>
        <w:rPr>
          <w:rFonts w:ascii="Times New Roman" w:cs="Times New Roman" w:eastAsia="Times New Roman" w:hAnsi="Times New Roman"/>
          <w:sz w:val="17"/>
          <w:szCs w:val="17"/>
          <w:color w:val="auto"/>
        </w:rPr>
        <w:t>Prior to the Maturity Date, there will be no scheduled principal payments under the Perceptive Term Loan Facility. On the Maturity Date, the Company is required to pay Perceptive the aggregate outstanding principal amount of the Loans and all accrued and unpaid interest thereon. The Term Loans may be prepaid at any time, subject to a prepayment premium equal to 2% to 10% of the aggregate outstanding principal amount being prepaid, depending on the date of prepayment.</w:t>
      </w:r>
    </w:p>
    <w:p>
      <w:pPr>
        <w:spacing w:after="0" w:line="16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connection with the Credit Agreement, the Company also entered into a Security Agreement (the “Security Agreement”), dated as of the Signing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addition, on the Closing Date, as consideration for the Credit Agreement, the Company issued to Perceptive warrants to purchase up to 2,000,000 shares (the “Warrant Shares”) of the Company’s common stock, par value $0.001 per share (the “Common Stock”), with an exercise price of $1.11 (the “Initial Loan Warrants”). Additionally, if the Delayed Draw Loan is drawn upon, the Company will be required to issue to Perceptive additional warrants to purchase up to 333,333 shares of its Common Stock, with an exercise price of $1.11 (the “DDL Warrants” and, together with the Initial Loan Warrants, the “Warrants”).</w:t>
      </w:r>
    </w:p>
    <w:p>
      <w:pPr>
        <w:spacing w:after="0" w:line="18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Warrants have an expiration date of November 14, 2035 and may be exercised on a cashless or “net” basis. The Warrants are freely transferable and will be automatically exercised, on a cashless basis, prior to their expiration if the value of the underlying shares is greater than the then-applicable exercise price. The exercise price described herein is subject to adjustment for certain recapitalization events, as further described in the Warrants. Pursuant to the Warrants, the Company has granted Perceptive certain resale registration rights in respect of the Warrant Shares. The Company determined that the Warrants were equity classified and therefore allocated the proceeds received between the debt and warrants based on their relative fair values. The amount allocated to the Warrants, or $1.4 million, was treated as an additional debt issuance cost. None of the Warrants have been exercised as of March 31, 2026.</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Intellectual Property (each as defined in the Credit Agreement) and other rights, interests or assets (whether tangible or intangible) reasonably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necessary for the operations of its business. The negative covenants restrict or limit the Company’s ability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the Company’s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minimum Liquidity (as defined in the Credit Agreement) of $5.0 million and (ii) as of each quarterly calculation date set forth in the Credit Agreement, maintain revenue that is not less than the amounts specified in the Credit Agreement. 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The occurrence of an Event of Default could result in, among other things, the declaration that all outstanding principal and interest under the Perceptive Term Loan Facility are immediately due and payable in whole or in part.</w:t>
      </w:r>
    </w:p>
    <w:p>
      <w:pPr>
        <w:spacing w:after="0" w:line="19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Interest expense associated with the Perceptive Credit Agreement recorded for the three months ended March 31, 2026 was $2.1 million, of which $0.2 million was related to the amortization of debt issuance costs.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MidCap Term Loan</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On May 26, 2022, the Company entered into the Credit and Security Agreement (the “MidCap Credit Agreement”) with MidCap Financial Trust (“MidCap”), as agent, and certain lender parties thereto. The MidCap Credit Agreement consisted of $40.0 million in a term loan. On November 14, 2025, the Company closed on a credit facility from Perceptive and upon closing used a portion of the proceeds to repay all borrowings under the MidCap Credit Agreement.</w:t>
      </w:r>
    </w:p>
    <w:p>
      <w:pPr>
        <w:spacing w:after="0" w:line="180"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MidCap term loan bore interest at a rate equal to 6.25% plus the greater of one-month Term SOFR (as defined in the MidCap Credit Agreement) or 1.0%. Interest expense associated with the MidCap Credit Facility recorded for the three months ended March 31, 2025 was $1.2 million, of which $0.2 million, was related to the amortization of debt issuance costs.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November 2023, the Company entered into an Equity Distribution Agreement (the “Equity Agreement”) with Piper Sandler &amp; Co, (“Piper”) in connection with the establishment of an at-the-market offering program under which the Company may sell shares of its common stock, from time to time through Piper as sales agent, in an initial amount of up to $50.0 million. No sales have been made under the Equity Agreement since its inception.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the following warrants outstanding to purchase common stock at March 31, 2026:</w:t>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Outstanding</w:t>
            </w:r>
          </w:p>
        </w:tc>
        <w:tc>
          <w:tcPr>
            <w:tcW w:w="16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dates</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issued with credit agreement</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Pre-funded common stock warrants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12,623,000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14,711,556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warrant activity:</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vMerge w:val="restart"/>
          </w:tcPr>
          <w:p>
            <w:pPr>
              <w:ind w:left="76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778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14,711,556</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14,711,556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Sale of Product Line</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March 2024, the Company entered into an Asset Purchase Agreement (“APA”) with MiMedx Group, Inc. (“MDXG”) to sell certain assets (the “Transaction”) related to NIVIS Fibrillar Collagen Pack Device (“NIVIS”). These assets mainly included the Company’s existing inventory of NIVIS, with a net carrying value of $0.8 million, and certain intellectual property rights to sell NIVIS, with no carrying value. MDXG assumed the Company’s existing supply agreements, including the minimum obligations for NIVIS that the Company entered into in 2022 ahead of the initial sales of NIVIS. In exchange for entering into the Transaction, the Company received an initial $5.0 million upfront payment and is entitled to receive future revenue-sharing payments based on the net sales of NIVIS (now marketed as HELIOGEN) during the first two years following its launch by MDXG, which revenue-sharing payments would range from a minimum of $3.0 million to a maximum of $7.0 million in the aggregate. In addition, $0.4 million of consideration was received for existing NIVIS inventory on-hand. Any consideration in excess of $3.0 million up to $7.0 million is considered variable consideration that is fully constrained.</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accounted for the Transaction as a sale of a nonfinancial asset group in accordance with ASC 610-20 and followed the principles of ASC 606 to determine the consideration of $8.4 million related to the Transaction which includes the consideration for the existing inventory. The Company transferred control of the nonfinancial asset group in March 2024 and upon closing recognized a gain of $7.6 million in the consolidated statement of operations and comprehensive loss during the three months ended March 31, 2024. The $8.4 million transaction price included the minimum revenue-share payment of $3.0 million, which was recorded as a receivable when the deal closed. Revenue-share payments commenced after the third quarter of 2024 and $1.7 million of this amount had been collected as of March 31, 2026. The remaining receivable of $1.3 million is recorded in prepaid expenses and other assets in the consolidated balance sheet at March 31, 2026. At each reporting date, the Company assesses the constraint of variable consideration and records increases in the transaction price in the period that the estimate of variable consideration changes. For the three months ended March 31, 2026 and 2025, no changes were made to the variable consideration.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2012 Stock Incentive Plan and the Amended and Restated 2019 Equity Incentive Plan (the “Plan”). On April 8, 2026, the Company’s board of directors approved an amendment to the Plan to increase the number of authorized shares issuable under the Plan by 3,500,000 shares. This amendment is subject to the approval by the Company’s stockholders on June 9, 2026 at the 2026 Annual Meeting. New awards can only be granted under the Plan. At March 31, 2026, 1,758,109 shares of common stock were available for future issuances under the Plan. The Plan provides for the grant of incentive stock options, nonqualified stock options, restricted stock awards, restricted stock units and/or stock appreciation rights to employees, directors, and other persons, as determined by the Company’s board of directors. The Company estimates forfeitures that it expects will occur and adjusts expense for actual forfeitures in the periods they occur.</w:t>
      </w:r>
    </w:p>
    <w:p>
      <w:pPr>
        <w:spacing w:after="0" w:line="18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Company measures employee and nonemployee stock-based awards at grant-date fair value and records compensation expense ratably over the vesting period of the award. The Company recorded stock-based compensation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9" w:lineRule="exact"/>
        <w:rPr>
          <w:sz w:val="20"/>
          <w:szCs w:val="20"/>
          <w:color w:val="auto"/>
        </w:rPr>
      </w:pPr>
    </w:p>
    <w:p>
      <w:pPr>
        <w:ind w:left="60" w:right="1179"/>
        <w:spacing w:after="0" w:line="282" w:lineRule="auto"/>
        <w:rPr>
          <w:sz w:val="20"/>
          <w:szCs w:val="20"/>
          <w:color w:val="auto"/>
        </w:rPr>
      </w:pPr>
      <w:r>
        <w:rPr>
          <w:rFonts w:ascii="Times New Roman" w:cs="Times New Roman" w:eastAsia="Times New Roman" w:hAnsi="Times New Roman"/>
          <w:sz w:val="18"/>
          <w:szCs w:val="18"/>
          <w:color w:val="auto"/>
        </w:rPr>
        <w:t>expense in the following expense categories of the accompanying consolidated statements of operations and comprehensive loss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20" w:type="dxa"/>
            <w:vAlign w:val="bottom"/>
            <w:vMerge w:val="restart"/>
          </w:tcPr>
          <w:p>
            <w:pPr>
              <w:ind w:left="55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9"/>
        </w:trPr>
        <w:tc>
          <w:tcPr>
            <w:tcW w:w="572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stock options vest based on the terms in each award agreement and generally vest over four years and have a term of 10 years.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740" w:type="dxa"/>
            <w:vAlign w:val="bottom"/>
            <w:gridSpan w:val="2"/>
            <w:vMerge w:val="restart"/>
          </w:tcPr>
          <w:p>
            <w:pPr>
              <w:ind w:left="56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2,672,859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(89,986)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3,543,623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3,402,814</w:t>
            </w: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1,814,239</w:t>
            </w: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Included in outstanding options at March 31, 2026 were 325,439 stock options granted outside of the Plan. These grants were made pursuant to the Nasdaq inducement grant exception in accordance with Nasdaq listing rule 5635(c)(4). At March 31, 2026, the aggregate intrinsic value of both outstanding and exercisable options was $0.</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weighted average grant-date fair value per share of options granted was $0.51 during the three months ended March 31, 2026. The aggregate intrinsic value of options exercised was $0 for the three months ended March 31, 2026. At March 31, 2026, the total unrecognized compensation expense related to unvested employee and nonemployee stock option awards was $1.9 million, which is expected to be recognized in expense over a weighted-average period of approximately 3.0 years.</w:t>
      </w:r>
    </w:p>
    <w:p>
      <w:pPr>
        <w:spacing w:after="0" w:line="183"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Black-Scholes option pricing model and the weighted average assumptions in the table below:</w:t>
      </w:r>
    </w:p>
    <w:p>
      <w:pPr>
        <w:spacing w:after="0" w:line="16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6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122"/>
        </w:trPr>
        <w:tc>
          <w:tcPr>
            <w:tcW w:w="7180" w:type="dxa"/>
            <w:vAlign w:val="bottom"/>
            <w:gridSpan w:val="2"/>
          </w:tcPr>
          <w:p>
            <w:pPr>
              <w:ind w:left="66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right"/>
              <w:ind w:right="774"/>
              <w:spacing w:after="0" w:line="12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0"/>
                <w:szCs w:val="10"/>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69.7 %</w:t>
            </w:r>
          </w:p>
        </w:tc>
      </w:tr>
      <w:tr>
        <w:trPr>
          <w:trHeight w:val="216"/>
        </w:trPr>
        <w:tc>
          <w:tcPr>
            <w:tcW w:w="718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3.81 %</w:t>
            </w:r>
          </w:p>
        </w:tc>
      </w:t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TELA Bio, Inc.</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60" w:right="159"/>
        <w:spacing w:after="0" w:line="274" w:lineRule="auto"/>
        <w:rPr>
          <w:sz w:val="20"/>
          <w:szCs w:val="20"/>
          <w:color w:val="auto"/>
        </w:rPr>
      </w:pPr>
      <w:r>
        <w:rPr>
          <w:rFonts w:ascii="Times New Roman" w:cs="Times New Roman" w:eastAsia="Times New Roman" w:hAnsi="Times New Roman"/>
          <w:sz w:val="17"/>
          <w:szCs w:val="17"/>
          <w:color w:val="auto"/>
        </w:rPr>
        <w:t>The Company has issued service-based and performance-based restricted stock units (“RSUs”). Vesting of the service-based RSUs is based on the terms in each award agreement and is generally over four years. Vesting of the performance-based RSUs is subject to continued service through 2026 and the achievement of certain performance milestones for fiscal year 2026. The amount of performance-based RSUs that will vest can range from 0% to 110% of the original number of RSUs granted. Expense for the performance-based RSUs is not recognized until the performance conditions are deemed probable of achievement. The Company has not recorded any expense related to the performance-based RSUs.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service-based RSUs for the Plan:</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vMerge w:val="restart"/>
          </w:tcPr>
          <w:p>
            <w:pPr>
              <w:ind w:left="76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778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1,104,662</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1,045,935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(305,278)</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(37,436)</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1,807,883</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performance-based RSUs for the Plan:</w:t>
            </w: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80" w:type="dxa"/>
            <w:vAlign w:val="bottom"/>
            <w:vMerge w:val="restart"/>
          </w:tcPr>
          <w:p>
            <w:pPr>
              <w:ind w:left="76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778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Included in outstanding RSUs at March 31, 2026 were 135,406 RSUs granted outside of the Plan. These grants were made pursuant to the Nasdaq inducement grant exception in accordance with Nasdaq listing rule 5635(c)(4). The weighted average grant-date fair value per RSU granted was $0.77 during the three months ended March 31, 2026. The aggregate intrinsic value of RSUs outstanding was $1.3 million at March 31, 2026. The total unrecognized compensation expense at March 31, 2026 related to RSUs was $3.2 million, excluding unrecognized compensation expense associated with performance-based RSUs that are not deemed probable of achievement, which is expected to be recognized in expense over a weighted-average period of approximately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as well as other sections in this Quarterly Report, should be read in conjunction with our unaudited interim consolidated financial statements and related notes thereto included elsewhere herein and the consolidated financial statements and notes thereto for the year ended December 31, 2025 and the related Management’s Discussion and Analysis of Financial Condition and Results of Operations, both of which are contained in our Annual Report filed with the SEC on March 25, 2026.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(the “Exchange Act”).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459"/>
        <w:spacing w:after="0" w:line="256" w:lineRule="auto"/>
        <w:rPr>
          <w:sz w:val="20"/>
          <w:szCs w:val="20"/>
          <w:color w:val="auto"/>
        </w:rPr>
      </w:pPr>
      <w:r>
        <w:rPr>
          <w:rFonts w:ascii="Times New Roman" w:cs="Times New Roman" w:eastAsia="Times New Roman" w:hAnsi="Times New Roman"/>
          <w:sz w:val="18"/>
          <w:szCs w:val="18"/>
          <w:color w:val="231F20"/>
        </w:rPr>
        <w:t>We are a commercial-stage medical technology company focused on providing innovative soft-tissue reconstruction solutions that optimize clinical outcomes by prioritizing the preservation and restoration of the patient’s own anatomy. Our growing product portfolio is purposefully designed to leverage the patient’s natural healing response while minimizing long-term exposure to permanent synthetic materials. We are committed to delivering our advanced technologies with a strong economic value proposition to assist surgeons and institutions in providing next-generation soft-tissue repair solutions to more patients worldwide.</w:t>
      </w:r>
    </w:p>
    <w:p>
      <w:pPr>
        <w:spacing w:after="0" w:line="18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231F20"/>
        </w:rPr>
        <w:t>We are dedicated to building true partnerships with surgeons and healthcare providers to deliver solutions that provide both clinical and economic improvements. We believe that genuine collaboration with surgeons and healthcare providers results in the development of new solutions that empower patient care and addresses unmet needs within the soft tissue reconstruction market.</w:t>
      </w:r>
    </w:p>
    <w:p>
      <w:pPr>
        <w:spacing w:after="0" w:line="180"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231F20"/>
        </w:rPr>
        <w:t>Our first portfolio of products, the OviTex Reinforced Tissue Matrix (“OviTex”) which we first commercialized in the U.S. in July 2016 and in Europe in February 2019, addresses unmet needs in hernia repair and abdominal wall reconstruction by combining the benefits of biologic matrices and polymer materials while minimizing their shortcomings, at a cost-effective price.</w:t>
      </w:r>
    </w:p>
    <w:p>
      <w:pPr>
        <w:spacing w:after="0" w:line="18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231F20"/>
        </w:rPr>
        <w:t>Hernia repair is one of the most common surgeries performed in the U.S., representing approximately 1.2 million procedures annually. Based on the volume weighted average selling price of our OviTex products, we estimate the annual U.S. total addressable market opportunity for our OviTex products to be approximately $1.8 billion.</w:t>
      </w:r>
    </w:p>
    <w:p>
      <w:pPr>
        <w:spacing w:after="0" w:line="1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231F20"/>
        </w:rPr>
        <w:t>Our OviTex portfolio consists of multiple product configurations intended to address various surgical procedures within hernia repair and abdominal wall reconstruction, including ventral, inguinal, and hiatal hernia repair. In addition, we have also designed an OviTex product specifically for use in laparoscopic and robotic-assisted hernia repair, which we market as OviTex LPR and began commercializing in November 2018. In February 2023, we launched two larger configurations of OviTex LPR, designed for ventral and incisional hernias. In April 2024, we launched OviTex IHR Reinforced Tissue Matrix, a new OviTex configuration specifically designed to address inguinal hernia procedures performed robotically and laparoscopically in the U.S., followed by a launch in the European markets in June 2025.</w:t>
      </w:r>
    </w:p>
    <w:p>
      <w:pPr>
        <w:spacing w:after="0" w:line="189"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231F20"/>
        </w:rPr>
        <w:t>We have also focused on evaluating and publishing clinical data on the effectiveness and safety of our OviTex products. To date, there have been over sixty-five published or presented works relating to these clinical findings, either by us or a third-party evaluating one or more product configurations in our OviTex portfolio. In October 2022, the 24-month results of our single arm, multicenter post-market clinical study, which we refer to as our BRAVO study, were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231F20"/>
        </w:rPr>
        <w:t xml:space="preserve">published in the </w:t>
      </w:r>
      <w:r>
        <w:rPr>
          <w:rFonts w:ascii="Times New Roman" w:cs="Times New Roman" w:eastAsia="Times New Roman" w:hAnsi="Times New Roman"/>
          <w:sz w:val="18"/>
          <w:szCs w:val="18"/>
          <w:i w:val="1"/>
          <w:iCs w:val="1"/>
          <w:color w:val="231F20"/>
        </w:rPr>
        <w:t>Annals of Medicine and Surgery</w:t>
      </w:r>
      <w:r>
        <w:rPr>
          <w:rFonts w:ascii="Times New Roman" w:cs="Times New Roman" w:eastAsia="Times New Roman" w:hAnsi="Times New Roman"/>
          <w:sz w:val="18"/>
          <w:szCs w:val="18"/>
          <w:color w:val="231F20"/>
        </w:rPr>
        <w:t>. The BRAVO study was designed to evaluate the clinical performance of OviTex for primary or recurrent ventral hernias using open, laparoscopic, or robotic techniques in 92 enrolled patients. The recurrence rate at the 24-month time point was 2.6%, and surgical site occurrences (“SSOs”), were observed in 38% of the study population. Of the enrolled patients, 78% were characterized as high risk for experiencing an SSO based on at least one known risk factor, which included obesity, active smoking, chronic obstructive pulmonary disease (“COPD”), diabetes mellitus, coronary artery disease, or advanced age (≥75 years). The results also indicated that BRAVO patients experienced statistically significant and clinically meaningful improvements in their quality of life and perceived health based on patient responses to the EuroQol-5 Dimension (EQ-5D) health assessment and the validated 12-question Hernia-Related Quality of Life survey (HerQLes). In addition to the BRAVO study, we have also initiated other clinical data collection initiatives evaluating the use of OviTex across a variety of hernia and abdominal wall reconstruction procedures. Among these other initiatives, we continue to enroll patients for our BRAVO II study, a prospective study evaluating the use of OviTex in robot-assisted ventral and inguinal hernia repairs.</w:t>
      </w:r>
    </w:p>
    <w:p>
      <w:pPr>
        <w:spacing w:after="0" w:line="192" w:lineRule="exact"/>
        <w:rPr>
          <w:sz w:val="20"/>
          <w:szCs w:val="20"/>
          <w:color w:val="auto"/>
        </w:rPr>
      </w:pPr>
    </w:p>
    <w:p>
      <w:pPr>
        <w:ind w:left="60" w:right="359"/>
        <w:spacing w:after="0" w:line="253" w:lineRule="auto"/>
        <w:rPr>
          <w:sz w:val="20"/>
          <w:szCs w:val="20"/>
          <w:color w:val="auto"/>
        </w:rPr>
      </w:pPr>
      <w:r>
        <w:rPr>
          <w:rFonts w:ascii="Times New Roman" w:cs="Times New Roman" w:eastAsia="Times New Roman" w:hAnsi="Times New Roman"/>
          <w:sz w:val="18"/>
          <w:szCs w:val="18"/>
          <w:color w:val="231F20"/>
        </w:rPr>
        <w:t>Our second portfolio of products, the OviTex PRS Reinforced Tissue Matrix, (“OviTex PRS”) which we first commercialized in the U.S. in May 2019, addresses unmet needs in plastic and reconstructive surgery. OviTex PRS is indicated for use in implantation to reinforce soft-tissue where weakness exists in patients requiring soft-tissue repair or reinforcement in plastic and reconstructive surgery. Our OviTex PRS portfolio consists of three product configurations with two or three layers of high-quality tissue derived from ovine rumen, which is reinforced with either permanent or resorbable polymer for added strength, stabilization, and controlled stretch. These products are designed to improve outcomes by facilitating functional tissue remodeling while controlling the degree and direction of stretch. OviTex PRS Long-Term Resorbable, our most recent product configuration, launched in August 2023, and was designed to enhance the OviTex PRS portfolio with specific design features including bi-directional stretch and a fully resorbable, long-term polymer for reinforcement</w:t>
      </w:r>
      <w:r>
        <w:rPr>
          <w:rFonts w:ascii="Times New Roman" w:cs="Times New Roman" w:eastAsia="Times New Roman" w:hAnsi="Times New Roman"/>
          <w:sz w:val="18"/>
          <w:szCs w:val="18"/>
          <w:color w:val="000000"/>
        </w:rPr>
        <w:t>. In March 2025, we announced the U.S. launch of larger sizes of OviTex PRS, which we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believe may reduce the need for multiple smaller pieces and have the potential to simplify more complex plastic and reconstructive procedures.</w:t>
      </w:r>
    </w:p>
    <w:p>
      <w:pPr>
        <w:spacing w:after="0" w:line="190"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231F20"/>
        </w:rPr>
        <w:t>Our OviTex PRS portfolio is supported by non-human primate data that demonstrated more rapid tissue integration and tissue remodeling compared to the market leading biologic matrix used in this indication. In addition, there have been a growing number of published or presented works evaluating the use of OviTex PRS in plastic and reconstruction applications. We also continue to collect patient data in our OPERA study, a retrospective-prospective trial evaluating the safety profile of OviTex PRS in previous pre-pectoral and sub-pectoral implant-based breast reconstructions. Based on the current sales of biologic matrices in the U.S., we estimate the annual U.S. current addressable market opportunity for our OviTex PRS products to be approximately $800 million.</w:t>
      </w:r>
    </w:p>
    <w:p>
      <w:pPr>
        <w:spacing w:after="0" w:line="18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231F20"/>
        </w:rPr>
        <w:t>Our OviTex products have received 510(k) clearances from the U.S. Food and Drug Administration, (“FDA”) which clearances were obtained and are currently held by our exclusive contract manufacturer of these products, Aroa. In April 2019, our first OviTex PRS products received 510(k) clearance from the FDA, which clearance was initially obtained by Aroa and is currently held by us. In March 2023, we received an additional 510(k) clearance for our OviTex PRS Long-Term Resorbable device, which is currently held by us. In May 2024, we received clearance of a Special 510(k) related to minor changes to our OviTex PRS Permanent and Short-Term Resorbable devices. In October 2024, we received approval from the FDA for our investigational device exemption application relating to the study of the safety and effectiveness of our OviTex PRS product in implant-based breast reconstruction. We continue to evaluate and finalize the clinical study protocol and anticipate additional FDA interactions related to such to support a pre-market application to obtain approval for an indication for OviTex PRS for use in breast reconstruction. In December 2024, we received clearance of a Special 510(k) related to two new additional large size product offerings in our OviTex PRS portfolio.</w:t>
      </w:r>
    </w:p>
    <w:p>
      <w:pPr>
        <w:spacing w:after="0" w:line="21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231F20"/>
        </w:rPr>
        <w:t>Historically, we have sought to expand our service offerings beyond our OviTex and OviTex PRS products through commercial partnerships to distribute complimentary soft tissue preservation and restoration solutions. Some additional product offerings include or have included atraumatic mesh fixation devices or surgical wound management and infection control solutions. In September 2023, we entered into a distribution agreement with Advanced Medical Solutions Limited, a company registered in England, to distribute their LIQUIFIX Hernia Mesh Fixation Devices (LIQUIFIX FIX8™ and LIQUIFIX Precision™). In March 2024, we announced the full commercial launch of LIQUIFIX in the U.S. We previously co-developed and commercialized the NIVIS Fibrillar Collagen Pack, (“NIVIS”) an absorbent matrix of Type I and Type III bovine collagen designed to manage moderately to heavily exudating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231F20"/>
        </w:rPr>
        <w:t>wounds and to control minor bleeding, in partnership with Regenity Biosciences. In March 2024, we sold our distribution rights to MiMedx Group, Inc. in exchange for an initial $5.0 million payment and additional future payments aggregating between a minimum of $3.0 million and a maximum of $7.0 million based on net sales of NIVIS (now marketed as HELIOGEN) during the first two years following its launch by MiMedx Group, Inc. We may assess additional strategic partnerships with medical device companies whereby we may enter into distribution, product development and/or licensing agreements for additional products complimentary to, or related to, existing and future products in our distribution channel, which could result in the payment by us of single digit percentage royalties or other product acquisition costs.</w:t>
      </w:r>
    </w:p>
    <w:p>
      <w:pPr>
        <w:spacing w:after="0" w:line="192" w:lineRule="exact"/>
        <w:rPr>
          <w:sz w:val="20"/>
          <w:szCs w:val="20"/>
          <w:color w:val="auto"/>
        </w:rPr>
      </w:pPr>
    </w:p>
    <w:p>
      <w:pPr>
        <w:ind w:left="60" w:right="179"/>
        <w:spacing w:after="0" w:line="269" w:lineRule="auto"/>
        <w:rPr>
          <w:sz w:val="20"/>
          <w:szCs w:val="20"/>
          <w:color w:val="auto"/>
        </w:rPr>
      </w:pPr>
      <w:r>
        <w:rPr>
          <w:rFonts w:ascii="Times New Roman" w:cs="Times New Roman" w:eastAsia="Times New Roman" w:hAnsi="Times New Roman"/>
          <w:sz w:val="17"/>
          <w:szCs w:val="17"/>
          <w:color w:val="231F20"/>
        </w:rPr>
        <w:t>We have a broad portfolio of intellectual property protecting our products that we believe, when combined with the proprietary manufacturing processes associated with our products and our know-how, provides significant barriers to entry. Our intellectual property applies to our differentiated product construction and materials. In addition, we believe our exclusive manufacturing and long-term supply and license agreement with Aroa (the “Aroa License”) creates a competitive advantage by allowing us to secure an exclusive supply of ovine rumen at a low cost. Ovine rumen, the forestomach of a sheep, is the source of the biologic material used in both of our OviTex and OviTex PRS products. We use biologic material from ovine rumen because of its plentiful supply, optimal biomechanical profile and open collagen architecture that allows for rapid cellular infiltration. Our OviTex and OviTex PRS products are manufactured by Aroa at their FDA registered and ISO 13485 compliant facility in Auckland, New Zealand. We purchase product from Aroa at a fixed transfer cost as a percentage of Aroa’s cost of goods sold, and subject to a true-up adjustment, resulting in an amount equal to 27% of our net sales of our OviTex and OviTex PRS products, with the exception of OviTex IHR product configurations, for which we pay the greater of the initial fixed transfer cost or 27% of our net sales of OviTex IHR. This revenue sharing arrangement allows us to competitively price our products and pass along cost-savings to our customers.</w:t>
      </w:r>
    </w:p>
    <w:p>
      <w:pPr>
        <w:spacing w:after="0" w:line="176" w:lineRule="exact"/>
        <w:rPr>
          <w:sz w:val="20"/>
          <w:szCs w:val="20"/>
          <w:color w:val="auto"/>
        </w:rPr>
      </w:pPr>
    </w:p>
    <w:p>
      <w:pPr>
        <w:ind w:left="60" w:right="279"/>
        <w:spacing w:after="0" w:line="253" w:lineRule="auto"/>
        <w:rPr>
          <w:sz w:val="20"/>
          <w:szCs w:val="20"/>
          <w:color w:val="auto"/>
        </w:rPr>
      </w:pPr>
      <w:r>
        <w:rPr>
          <w:rFonts w:ascii="Times New Roman" w:cs="Times New Roman" w:eastAsia="Times New Roman" w:hAnsi="Times New Roman"/>
          <w:sz w:val="18"/>
          <w:szCs w:val="18"/>
          <w:color w:val="231F20"/>
        </w:rPr>
        <w:t>We primarily market our products through a single direct sales force, predominantly in the U.S., with a small number of sales representatives in the United Kingdom and European Union, and also utilize a smaller number of independent contractors and distributors in the United States and certain European countries. We have invested in our direct sales and marketing infrastructure to expand our presence and to promote awareness and adoption of our products. We believe we can enhance the productivity of our sales force by improving customer segmentation and targeting, implementing and further refining our proprietary training programs, leveraging support from our medical education and medical affairs functions to drive physician awareness, education and clinical understanding of our products, and utilizing engagement analytics to support further product development and enhancement opportunities. Additionally, we have contracted with three national group purchasing organizations (“GPOs”) in the United States covering our OviTex and OviTex PRS products and plan to continue to contract with additional GPOs and other integrated delivery networks (“IDNs”) to increase access to and penetration of hospital accounts for all products we commercialize.</w:t>
      </w:r>
    </w:p>
    <w:p>
      <w:pPr>
        <w:spacing w:after="0" w:line="192"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231F20"/>
        </w:rPr>
        <w:t>We are currently devoting research and development resources to develop additional variations of our OviTex and OviTex PRS products, including the development of OviTex configurations with longer-acting resorbable polymers and other potential product and packaging enhancements to extend the shelf life of our products. In addition, we also continue to explore the development of lower-cost, higher-margin resorbable polymer-based devices targeting our current indications. We are also exploring additional technologies that may complement our existing products, or expand the number of our products, in each case within the hernia, plastic and reconstruction, and broader soft-tissue reconstruction market. We intend to continue to make investments in research and development efforts to develop improvements and enhancements to our product portfolio.</w:t>
      </w:r>
    </w:p>
    <w:p>
      <w:pPr>
        <w:spacing w:after="0" w:line="19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vast majority of our revenue to date has been generated by the sale of our OviTex products. Our revenue increased by $0.5 million, or 3%, from $18.5 million for the three months ended March 31, 2025 to $19.1 million for the three months ended March 31, 2026. Our net loss increased by $1.0 million, or 9%, from $11.3 million for the three months ended March 31, 2025 to $12.3 million for the three months ended March 31, 2026. We have not been profitable since inception and as of March 31, 2026, we had an accumulated deficit of $409.8 million. We expect to incur losses for the foreseeable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Update Regarding Macroeconomic Conditions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business, results of operations and commercial operations have been, and may continue to be impacted by macroeconomic conditions outside of our control, including general economic uncertainty, external cybersecurity events impacting our customers, disruptions in supply of critical surgical supplies for procedures utilizing our products, inflationary pressures, tariffs, regulatory changes in the market in which we operate, fluctuations in foreign currency in the jurisdictions in which we operate, banking instability, monetary policy changes and geopolitical conflicts. These factors have and may continue to impact us in the following ways:</w:t>
      </w:r>
    </w:p>
    <w:p>
      <w:pPr>
        <w:spacing w:after="0" w:line="18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General Economic Uncertainty</w:t>
      </w:r>
      <w:r>
        <w:rPr>
          <w:rFonts w:ascii="Times New Roman" w:cs="Times New Roman" w:eastAsia="Times New Roman" w:hAnsi="Times New Roman"/>
          <w:sz w:val="18"/>
          <w:szCs w:val="18"/>
          <w:color w:val="auto"/>
        </w:rPr>
        <w:t>: Continued concerns about the systemic impact of a potential economic downturn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recession, changes in interest rates, further economic downturn or banking instability, monetary policy, changes in trade policies (including the imposition of tariffs and trade protection measures), geopolitical tensions or the outbreak of hostilities or war, have contributed to increased market volatility and diminished expectations for economic growth in the world. Due to this uncertainty and other factors, we have experienced high volatility in our stock price over the prior year. Continued uncertainty, perception of worsening market conditions and the introduction of new products which may, or may be perceived to, negatively impact the demand for our products now or in the future could result in a decline in our stock price, high inflation, an increase in our cost of capital and an adverse effect on our ability to access the capital markets in the future on terms acceptable to us or at all.</w:t>
      </w:r>
    </w:p>
    <w:p>
      <w:pPr>
        <w:spacing w:after="0" w:line="188"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Imposition of Tariffs on Import of Product</w:t>
      </w:r>
      <w:r>
        <w:rPr>
          <w:rFonts w:ascii="Times New Roman" w:cs="Times New Roman" w:eastAsia="Times New Roman" w:hAnsi="Times New Roman"/>
          <w:sz w:val="18"/>
          <w:szCs w:val="18"/>
          <w:color w:val="auto"/>
        </w:rPr>
        <w:t>: Our OviTex and OviTex PRS products are manufactured by Aroa at their FDA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and ISO 13485 compliant facility in Auckland, New Zealand. As of the date of this report, the U.S. has imposed a 10% tariff on imports from New Zealand, including on the import of medical devices. While the terms of our agreement with Aroa provide that each of Aroa and our company will share equally the cost of the tariffs, the cost to cover such tariffs could lead us to increase the price of certain of our products, which may adversely impact demand for our products and competitive positioning.</w:t>
      </w:r>
    </w:p>
    <w:p>
      <w:pPr>
        <w:spacing w:after="0" w:line="18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External Supply Constraints for Critical Surgical Supplies</w:t>
      </w:r>
      <w:r>
        <w:rPr>
          <w:rFonts w:ascii="Times New Roman" w:cs="Times New Roman" w:eastAsia="Times New Roman" w:hAnsi="Times New Roman"/>
          <w:sz w:val="18"/>
          <w:szCs w:val="18"/>
          <w:color w:val="auto"/>
        </w:rPr>
        <w:t>: Any disruptions to the supply of critical surgical supplies,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example, IV fluids, could lead to deferrals of elective surgical procedures, including those utilizing our products. To the extent that our current and prospective hospital customers experience significant shortages of these critical supplies, whether due to extreme weather events, labor or work stoppages, or other supply chain disruptions, we may experience reductions in procedural volumes that lead to lower sales volume for our products.</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Financial Strain</w:t>
      </w:r>
      <w:r>
        <w:rPr>
          <w:rFonts w:ascii="Times New Roman" w:cs="Times New Roman" w:eastAsia="Times New Roman" w:hAnsi="Times New Roman"/>
          <w:sz w:val="18"/>
          <w:szCs w:val="18"/>
          <w:color w:val="auto"/>
        </w:rPr>
        <w:t>: Market acceptance of our medical products in the U.S. and other countries is dependent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procurement practices of our customers, patient need for our products and procedures and the reimbursement of patients’ medical expenses by government healthcare programs and third-party payors. The continuing uncertainty surrounding macroeconomic conditions and financial markets, including the financial strain suffered by hospital customers first arising in response to the COVID-19 pandemic, may adversely affect demand for our products and procedures and result in lower reimbursement rates or coverage for our products, resulting in lower sales volume and downward pricing pressure on our products and slower adoption of new products.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majority of our revenue consists of direct sales of our products to hospital accounts in the U.S. Depending on the terms of our agreements with our customers, we recognize revenue related to product sales when control transfers, which generally occurs when the product is shipped to the customer, or when the product is utilized in a surgical procedure in the case of consignment agreements. Fees charged to customers for shipping are recognized as revenue. Recent revenue growth has been driven by increasing revenue from product sales due to our expanding customer base and deeper penetration across procedures in existing customer accounts, although macroeconomic pressures described in this Quarterly Report may impair our ability to continue to generate revenue, expand our customer base, and increase utilization of our products in existing customer accounts at historic 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Cost of revenue primarily consists of the costs of licensed products, charges related to excess and obsolete inventory adjustments, royalties and costs related to shipping. We purchase product from Aroa at a fixed transfer cost as a percentage of Aroa’s cost of goods, which, subject to a true-up adjustment, results in an amount equal to 27% of our net sales of our OviTex and OviTex PRS products, with the exception of OviTex IHR product configurations, for which we pay the greater of the initial fixed transfer cost or 27% of our net sales of OviTex IHR. The initial term of our Aroa License terminates on the expiration of the last patent covering bovine and ovine products, with an option to extend for an additional ten-year period. We expect our cost of revenue to increase in absolute dollars as, and to the extent, our sales volume grows. Any delay in volume growth, whether due to macroeconomic pressures or otherwise, could lead to additional charges to excess and obsolete inventory.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Amortization of intangible assets relates to the amortization of capitalized milestone amounts paid to Aroa related to license fees or commercialization rights after future economic benefit has been established for a product. These capitalized milestone amounts relate to regulatory clearances, the receipt of certain supply quantities of product, and amounts based upon aggregate net sales thresholds within a specified territory, and are amortized over the remaining useful life of the intellectual property.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gross profit is calculated by subtracting our cost of revenue and amortization of intangible assets from our revenue. We calculate our gross margin percentage as our gross profit divided by our revenue. Our gross margin has been, and we expect it will continue to be, affected by a variety of factors, including sales volume, royalties and inventory excess and obsolescence costs. Our gross profit may increase to the extent our revenue grows.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left="60" w:right="299"/>
        <w:spacing w:after="0" w:line="281" w:lineRule="auto"/>
        <w:rPr>
          <w:sz w:val="20"/>
          <w:szCs w:val="20"/>
          <w:color w:val="auto"/>
        </w:rPr>
      </w:pPr>
      <w:r>
        <w:rPr>
          <w:rFonts w:ascii="Times New Roman" w:cs="Times New Roman" w:eastAsia="Times New Roman" w:hAnsi="Times New Roman"/>
          <w:sz w:val="17"/>
          <w:szCs w:val="17"/>
          <w:color w:val="auto"/>
        </w:rPr>
        <w:t>Sales and marketing expenses consist of commercial activities related to the sale of our products, along with the salaries and related benefits, including sales commissions and stock-based compensation for employees focused on these efforts. Other significant sales and marketing expenses include costs incurred with post-market clinical studies, conferences and trade shows, promotional and marketing activities, market research, as well as travel and training expenses.</w:t>
      </w:r>
    </w:p>
    <w:p>
      <w:pPr>
        <w:spacing w:after="0" w:line="137"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We expect future sales and marketing expenses will primarily depend on our ability to drive operational leverage and efficiencies from our commercial organization. We expect our sales and marketing expenses to continue to decrease as a percentage of revenue, as and to the extent, our revenue grows.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personnel in executive, finance, information technology and administrative functions. General and administrative expenses also include professional service fees for legal, accounting, consulting, investor and public relations, insurance costs and direct and allocated facility-related costs.</w:t>
      </w:r>
    </w:p>
    <w:p>
      <w:pPr>
        <w:spacing w:after="0" w:line="153"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We expect future general and administrative expenses will primarily depend on our ability to efficiently execute on our growth initiatives. We expect our general and administrative expenses to decrease as a percentage of revenue primarily as, and to the extent, our revenue grows.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product research, engineering, product development, regulatory compliance and clinical development. These expenses include salaries and related benefits including stock-based compensation, for employees focused on these efforts, consulting services, costs associated with our preclinical studies and clinical studies undertaken to obtain regulatory clearance for new or expanded product indications, costs incurred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with our manufacturing partner under development agreements related to technology transfer, costs incurred from license agreements with no alternative future uses, laboratory materials and supplies and an allocation of related facilities costs. We expense research and development costs as they are incurred.</w:t>
      </w:r>
    </w:p>
    <w:p>
      <w:pPr>
        <w:spacing w:after="0" w:line="14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We expect future research and development expenses will primarily depend on our ability to efficiently develop new products, enhance existing products and conduct research to generate clinical data in support of new or expanded indications for our products. We expect research and development expenses as a percentage of revenue to vary over time depending on the level and timing of new product development and clinical trial initiatives.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Interest expense consists of cash interest under our credit facilities and non-cash interest attributable to the amortization of deferred financing costs related to our indebtedness.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Other income consists primarily of income earned on our cash and cash equivalents offset by miscellaneous tax expenses and foreign currency exchange gains and losses.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500" w:type="dxa"/>
            <w:vAlign w:val="bottom"/>
            <w:gridSpan w:val="2"/>
          </w:tcPr>
          <w:p>
            <w:pPr>
              <w:jc w:val="right"/>
              <w:ind w:right="79"/>
              <w:spacing w:after="0" w:line="11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211"/>
              <w:spacing w:after="0" w:line="119" w:lineRule="exact"/>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20" w:type="dxa"/>
            <w:vAlign w:val="bottom"/>
          </w:tcPr>
          <w:p>
            <w:pPr>
              <w:jc w:val="right"/>
              <w:ind w:right="211"/>
              <w:spacing w:after="0" w:line="119"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5"/>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 xml:space="preserve">Dollar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w:t>
            </w: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thousands, except</w:t>
            </w:r>
          </w:p>
        </w:tc>
        <w:tc>
          <w:tcPr>
            <w:tcW w:w="6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w w:val="93"/>
              </w:rPr>
              <w:t>percentages)</w:t>
            </w:r>
          </w:p>
        </w:tc>
        <w:tc>
          <w:tcPr>
            <w:tcW w:w="1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(excluding amortization of intangible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Revenue increased by $0.5 million, or 3%, to $19.1 million for the three months ended March 31, 2026 from $18.5 million for the three months ended March 31, 2025. The increase in revenue was primarily driven by growing international sales, partially offset by price mix headwinds in the U.S. related to growth of smaller sized units. During the three months ended March 31, 2026, we sold 5,779 units of OviTex as compared to 4,992 units of OviTex during the three months ended March 31, 2025, a 16% increase in unit sales volume. Additionally, we sold 1,133 units of OviTex PRS during the three months ended March 31, 2026 as compared to 1,170 units during the three months ended March 31, 2025, a 3% decline in unit sales volume.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Cost of revenue (excluding amortization of intangible assets) increased by $0.5 million, or 9%, to $6.4 million for the three months ended March 31, 2026 from $5.9 million for the three months ended March 31, 2025. The increase in cost of revenue was primarily the result of an increase in products purchased to support demand from our higher unit sales and a higher charge for excess and obsolete inventory.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Amortization of intangible assets was $95,000 for both the three months ended March 31, 2026 and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 was $12.5 million for both the three months ended March 31, 2026 and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Gross margin decreased to 66% for the three months ended March 31, 2026 from 68% for the three months ended March 31, 2025. The decrease was primarily due to a higher charge for excess and obsolete inventory as a percentage of revenue.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$0.1 million, to $16.5 million for the three months ended March 31, 2026 from $16.6 million for the three months ended March 31, 2025. The decrease was due to lower compensation and benefits primarily from lower commission expense, which offset higher meeting and training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$0.3 million, or 9%, to $4.2 million for the three months ended March 31, 2026 from $3.8 million for the three months ended March 31, 2025. The increase was primarily due to higher professional fees and travel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$0.2 million, or 8%, to $2.3 million for the three months ended March 31, 2026 from $2.5 million for the three months ended March 31, 2025. The decrease was primarily due to lower compensation and benefits and study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Interest expense increased by $0.8 million, or 68% to $2.1 million for the three months ended March 31, 2026 from $1.2 million for the three months ended March 31, 2025 due to an increase in the borrowing base and the interest rate from our new credit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Other income decreased by $0.1 million, or 24%, to $0.4 million for the three months ended March 31, 2026 from $0.5 million for the three months ended March 31, 2025 due primarily to lower interest income from lower cash balances and lower interest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We recorded tax expense of $60,000 and $52,000 related to our foreign jurisdiction for the three months ended March 31, 2026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559"/>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of $39.5 million, working capital of $46.5 million and an accumulated deficit of $409.8 million. As of December 31, 2025, we had cash and cash equivalents of $50.8 million, working capital of $57.6 million and an accumulated deficit of $397.6 million.</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have incurred operating losses since our inception, and we anticipate that our operating losses will continue in the near term as we seek to invest in our sales and marketing initiatives to support our growth in existing and new markets and in additional research and development activities. As of March 31, 2026, we had $60.0 million of borrowings outstanding under our credit facility (the “Perceptive Credit Agreement”) with Perceptive Credit Holdings V, LP (“Perceptive”). The Perceptive Credit Agreement matures in November 2030.</w:t>
      </w:r>
    </w:p>
    <w:p>
      <w:pPr>
        <w:spacing w:after="0" w:line="183"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Based on our current business plan, we believe that our existing cash resources will be sufficient to meet our capital requirements and fund our operations for at least the next 12 months from the issuance of this Quarterly Report. If these sources are insufficient to satisfy our liquidity requirements, we may seek to sell common or preferred equity or debt securities or enter into a new credit facility. In November 2023, we entered into a new Equity Distribution Agreement (the “Equity Agreement”) with Piper Sandler &amp; Co, (“Piper”) in connection with the establishment of an at-the-market offering program under which we may sell shares of our common stock, from time to time through Piper as sales agent, in an initial amount of up to $50 million. No sales have ever been made under the Equity Agreement.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including as a result of market volatility stemming from macroeconomic conditions, including those related to banking instability, changes in trade policies, changes in interest rates or other factors. If we are unable to obtain adequate financing, we may be required to delay or reduce the current development, commercialization and marketing plans for our products.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2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76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5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by financing activities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we used $11.2 million of cash in operating activities, resulting from our net loss of $12.3 million and changes in operating assets and liabilities of $1.2 million, partially offset by our non-cash items of $2.3 million. Our non-cash items were primarily comprised of stock-based compensation expense of $0.8 million, our excess and obsolete inventory charge of $0.9 million, depreciation and amortization expense of $0.3 million and noncash interest expense of $0.2 million. The change in our operating assets and liabilities was primarily related to an increase in inventory and a decrease in accrued expenses and other current liabilities offset by an increase in accounts payable. Consistent with historical trends, cash used in operations in each of the remaining quarters of the fiscal year ending December 31, 2026 is expected to be lower than the amount reported for the three months ended March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we used $9.7 million of cash in operating activities, resulting from our net loss of $11.3 million, changes in operating assets and liabilities of $0.6 million partially offset by our non-cash items of $2.1 million. Our non-cash items were comprised of stock-based compensation expense of $1.0 million, our excess and obsolete inventory charge of $0.6 million, depreciation and amortization expense of $0.3 million and noncash interest expense of $0.2 million. The change in our operating assets and liabilities was primarily related to changes in inventory and accounts receivable and a decrease in accrued expenses and other current liabilities partially offset by increases in accounts payable.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During the three months ended March 31, 2026, cash provided by investing activities was $0.2 million consisting of proceeds received from the sale of NIVIS of $0.3 million offset by $0.1 million in purchases of property and equipment.</w:t>
      </w:r>
    </w:p>
    <w:p>
      <w:pPr>
        <w:spacing w:after="0" w:line="140" w:lineRule="exact"/>
        <w:rPr>
          <w:sz w:val="20"/>
          <w:szCs w:val="20"/>
          <w:color w:val="auto"/>
        </w:rPr>
      </w:pPr>
    </w:p>
    <w:p>
      <w:pPr>
        <w:jc w:val="both"/>
        <w:ind w:left="60" w:right="599"/>
        <w:spacing w:after="0" w:line="312" w:lineRule="auto"/>
        <w:rPr>
          <w:sz w:val="20"/>
          <w:szCs w:val="20"/>
          <w:color w:val="auto"/>
        </w:rPr>
      </w:pPr>
      <w:r>
        <w:rPr>
          <w:rFonts w:ascii="Times New Roman" w:cs="Times New Roman" w:eastAsia="Times New Roman" w:hAnsi="Times New Roman"/>
          <w:sz w:val="17"/>
          <w:szCs w:val="17"/>
          <w:color w:val="auto"/>
        </w:rPr>
        <w:t>During the three months ended March 31, 2025, cash provided by investing activities was $0.1 million consisting of proceeds received from the sale of NIVIS of $0.2 million offset by $32,000 in purchases of property and equipment.</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179"/>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2026, cash used in financing activities was $0.3 million, consisting primarily of payments of accrued offering costs and payments of withholding taxes related to stock-based compensation to employees partially offset by proceeds received from the issuance of common stock under the employee stock purchase plan.</w:t>
      </w:r>
    </w:p>
    <w:p>
      <w:pPr>
        <w:spacing w:after="0" w:line="15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used in financing activities was $0.1 million, consisting primarily of payments of withholding taxes related to stock-based compensation to employees partially offset by proceeds received from the issuance of common stock under the employee stock purchase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On November 13, 2025, the Company entered into a Credit Agreement and Guaranty (the “Credit Agreement”) with Perceptive, which provides for a senior secured term loan facility in an aggregate principal amount of up to $70.0 million. An initial loan in an aggregate principal amount of $60.0 million (the “Initial Loan”) was funded under the Perceptive Term Loan Facility on November 14, 2025 (the “Closing Date”). In addition to the Initial Loan, the Perceptive Term Loan Facility includes an additional delayed draw loan in an aggregate principal amount of $10.0 million to be available in a single drawing after the Closing Date on or prior to the Delayed Draw Commitment Termination Date (as defined in the Credit Agreement but not later than April 30, 2027) (the “Delayed Draw Loan,” together with the Initial Loan, the “Loans”), which will be accessible by the Company so long as it satisfies certain customary conditions precedent, including but not limited to, the achievement of net revenue thresholds. The Perceptive Term Loan Facility has a maturity date of November 14, 2030.</w:t>
      </w:r>
    </w:p>
    <w:p>
      <w:pPr>
        <w:spacing w:after="0" w:line="19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Perceptive Term Loan Facility accrues interest at an annual rate equal to the sum of (a) an applicable margin of 7.85% (the “Applicable Margin”) plus (b) the greater of (i) the Reference Rate (as defined in the Credit Agreement) and (ii) four and one quarter percent (4.25%). Accrued interest on the Term Loans is payable monthly in arrears. Upon an Event of Default (as defined in the Credit Agreement), the Applicable Margin will automatically increase by an additional 3.00% per annum.</w:t>
      </w:r>
    </w:p>
    <w:p>
      <w:pPr>
        <w:spacing w:after="0" w:line="183" w:lineRule="exact"/>
        <w:rPr>
          <w:sz w:val="20"/>
          <w:szCs w:val="20"/>
          <w:color w:val="auto"/>
        </w:rPr>
      </w:pPr>
    </w:p>
    <w:p>
      <w:pPr>
        <w:jc w:val="both"/>
        <w:ind w:left="60" w:right="159"/>
        <w:spacing w:after="0" w:line="281" w:lineRule="auto"/>
        <w:rPr>
          <w:sz w:val="20"/>
          <w:szCs w:val="20"/>
          <w:color w:val="auto"/>
        </w:rPr>
      </w:pPr>
      <w:r>
        <w:rPr>
          <w:rFonts w:ascii="Times New Roman" w:cs="Times New Roman" w:eastAsia="Times New Roman" w:hAnsi="Times New Roman"/>
          <w:sz w:val="17"/>
          <w:szCs w:val="17"/>
          <w:color w:val="auto"/>
        </w:rPr>
        <w:t>Prior to the Maturity Date, there will be no scheduled principal payments under the Perceptive Term Loan Facility. On the Maturity Date, the Company is required to pay Perceptive the aggregate outstanding principal amount of the Loans and all accrued and unpaid interest thereon. The Term Loans may be prepaid at any time, subject to a prepayment premium equal to 2% to 10% of the aggregate outstanding principal amount being prepaid, depending on the date of prepayment.</w:t>
      </w:r>
    </w:p>
    <w:p>
      <w:pPr>
        <w:spacing w:after="0" w:line="16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connection with the Credit Agreement, the Company also entered into a Security Agreement (the “Security Agreement”), dated as of the Signing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80"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Intellectual Property (each as defined in the Credit Agreement) and other rights, interests or assets (whether tangible or intangible) reasonably necessary for the operations of its business. The negative covenants restrict or limit the Company’s ability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the Company’s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minimum Liquidity (as defined in the Credit Agreement) of $5.0 million and (ii) as of each calculation date set forth in the Credit Agreement, maintain Revenue that is not less than the amounts specified in the Credit Agreement. 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The occurrence of an Event of Default could result in, among other things, the declaration that all outstanding principal and interest under the Perceptive Term Loan Facility are immediately due and payable in whole or in part.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significant changes to our commitments and future minimum contractual obligations as set forth in our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The Critical Accounting Policies and Significant Judgments and Estimates included in our Annual Report have not materially changed.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59"/>
        <w:spacing w:after="0" w:line="255" w:lineRule="auto"/>
        <w:rPr>
          <w:sz w:val="20"/>
          <w:szCs w:val="20"/>
          <w:color w:val="auto"/>
        </w:rPr>
      </w:pPr>
      <w:r>
        <w:rPr>
          <w:rFonts w:ascii="Times New Roman" w:cs="Times New Roman" w:eastAsia="Times New Roman" w:hAnsi="Times New Roman"/>
          <w:sz w:val="18"/>
          <w:szCs w:val="18"/>
          <w:color w:val="auto"/>
        </w:rPr>
        <w:t>Our cash is held on deposit in demand accounts at high-credit-quality financial institutions in amounts in excess of the Federal Deposit Insurance Corporation (“FDIC”) insurance coverage limit of $250,000 per depositor, per FDIC-insured bank, per ownership category. Following the events relating to Silicon Valley Bank in 2023, we established a redundant account at a high-credit-quality financial institution to mitigate liquidity risk to our cash and cash equivalents from any further instability in the financial industry. We have reviewed the consolidated financial statements of these financial institutions and believe they have sufficient assets and liquidity to conduct their operations in the ordinary course of business with little or no credit risk to us.</w:t>
      </w:r>
    </w:p>
    <w:p>
      <w:pPr>
        <w:spacing w:after="0" w:line="18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18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As discussed above in the section of this Quarterly Report entitled “Liquidity and Capital Resources — Indebtedness,” the Perceptive Credit Agreement bears interest at a floating rate of interest, which resets monthly and is equal to 7.85% plus the greater of one-month Term SOFR or 4.25%. As a result, we are exposed to risks from changes in interest rates. A 1% increase in interest rates would have resulted in a $0.2 million increase to our interest expense for the three months ended March 31, 2026.</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our cost of revenue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 if our selling prices of our products do not increase as much or more than our costs increase.</w:t>
      </w:r>
    </w:p>
    <w:p>
      <w:pPr>
        <w:spacing w:after="0" w:line="183"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We do not currently have any material exposure to foreign currency fluctuations and do not engage in any hedging activities as part of our normal course of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Operating Officer and Chief Financial Officer, have evaluated our disclosure controls and procedures (as defined in Rules 13a-15(e) and 15d-15(e) under the Exchange Act) as of the end of the period covered by this Quarterly Report. Based on that evaluation, our Chief Executive Officer and Chief Operating Officer and Chief Financial Officer have concluded that, as of the end of the period covered by this Quarterly Report, our disclosure controls and procedures are effective to provide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Operating Officer and Chief Financial Officer, as appropriate, to allow timely decisions regarding required disclosure.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199"/>
        <w:spacing w:after="0" w:line="282" w:lineRule="auto"/>
        <w:rPr>
          <w:sz w:val="20"/>
          <w:szCs w:val="20"/>
          <w:color w:val="auto"/>
        </w:rPr>
      </w:pPr>
      <w:r>
        <w:rPr>
          <w:rFonts w:ascii="Times New Roman" w:cs="Times New Roman" w:eastAsia="Times New Roman" w:hAnsi="Times New Roman"/>
          <w:sz w:val="18"/>
          <w:szCs w:val="18"/>
          <w:color w:val="auto"/>
        </w:rPr>
        <w:t>You should carefully consider the risk factors described in our Annual Report, under the caption “Item 1A. Risk Factors.” There have been no material changes in our risk factors disclosed in our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2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adopted, terminated or modified a “Rule 10b5-1 trading arrangement” or “non-Rule 10b5-1 trading arrangement,” as defined in Item 408(a) of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360" w:type="dxa"/>
            <w:vAlign w:val="bottom"/>
            <w:gridSpan w:val="3"/>
          </w:tcPr>
          <w:p>
            <w:pPr>
              <w:jc w:val="center"/>
              <w:ind w:right="1235"/>
              <w:spacing w:after="0"/>
              <w:rPr>
                <w:sz w:val="20"/>
                <w:szCs w:val="20"/>
                <w:color w:val="auto"/>
              </w:rPr>
            </w:pPr>
            <w:r>
              <w:rPr>
                <w:rFonts w:ascii="Times New Roman" w:cs="Times New Roman" w:eastAsia="Times New Roman" w:hAnsi="Times New Roman"/>
                <w:sz w:val="17"/>
                <w:szCs w:val="17"/>
                <w:b w:val="1"/>
                <w:bCs w:val="1"/>
                <w:color w:val="auto"/>
              </w:rPr>
              <w:t>Exhibit No. ​​​</w:t>
            </w:r>
          </w:p>
        </w:tc>
        <w:tc>
          <w:tcPr>
            <w:tcW w:w="1320" w:type="dxa"/>
            <w:vAlign w:val="bottom"/>
          </w:tcPr>
          <w:p>
            <w:pPr>
              <w:spacing w:after="0"/>
              <w:rPr>
                <w:sz w:val="24"/>
                <w:szCs w:val="24"/>
                <w:color w:val="auto"/>
              </w:rPr>
            </w:pPr>
          </w:p>
        </w:tc>
        <w:tc>
          <w:tcPr>
            <w:tcW w:w="5120" w:type="dxa"/>
            <w:vAlign w:val="bottom"/>
            <w:gridSpan w:val="9"/>
          </w:tcPr>
          <w:p>
            <w:pPr>
              <w:ind w:left="9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80" w:type="dxa"/>
            <w:vAlign w:val="bottom"/>
            <w:tcBorders>
              <w:right w:val="single" w:sz="8" w:color="auto"/>
            </w:tcBorders>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80" w:type="dxa"/>
            <w:vAlign w:val="bottom"/>
          </w:tcPr>
          <w:p>
            <w:pPr>
              <w:spacing w:after="0"/>
              <w:rPr>
                <w:sz w:val="24"/>
                <w:szCs w:val="24"/>
                <w:color w:val="auto"/>
              </w:rPr>
            </w:pPr>
          </w:p>
        </w:tc>
        <w:tc>
          <w:tcPr>
            <w:tcW w:w="77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Certification of Chief Executive Officer pursuant to Rules 13a-14(a) or 15d-14(a) of the Securities Exchange Act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80" w:type="dxa"/>
            <w:vAlign w:val="bottom"/>
          </w:tcPr>
          <w:p>
            <w:pPr>
              <w:spacing w:after="0"/>
              <w:rPr>
                <w:sz w:val="15"/>
                <w:szCs w:val="15"/>
                <w:color w:val="auto"/>
              </w:rPr>
            </w:pPr>
          </w:p>
        </w:tc>
        <w:tc>
          <w:tcPr>
            <w:tcW w:w="7800" w:type="dxa"/>
            <w:vAlign w:val="bottom"/>
            <w:gridSpan w:val="11"/>
          </w:tcPr>
          <w:p>
            <w:pPr>
              <w:spacing w:after="0" w:line="183" w:lineRule="exact"/>
              <w:rPr>
                <w:sz w:val="20"/>
                <w:szCs w:val="20"/>
                <w:color w:val="auto"/>
              </w:rPr>
            </w:pPr>
            <w:r>
              <w:rPr>
                <w:rFonts w:ascii="Times New Roman" w:cs="Times New Roman" w:eastAsia="Times New Roman" w:hAnsi="Times New Roman"/>
                <w:sz w:val="17"/>
                <w:szCs w:val="17"/>
                <w:color w:val="0000EE"/>
              </w:rPr>
              <w:t>of 1934, as adopted pursuant to Section 302 of the Sarbanes-Oxley Act of 2002 (filed herewith).</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11"/>
          </w:tcPr>
          <w:p>
            <w:pPr>
              <w:spacing w:after="0" w:line="183" w:lineRule="exact"/>
              <w:rPr>
                <w:sz w:val="20"/>
                <w:szCs w:val="20"/>
                <w:color w:val="auto"/>
              </w:rPr>
            </w:pPr>
            <w:r>
              <w:rPr>
                <w:rFonts w:ascii="Times New Roman" w:cs="Times New Roman" w:eastAsia="Times New Roman" w:hAnsi="Times New Roman"/>
                <w:sz w:val="17"/>
                <w:szCs w:val="17"/>
                <w:color w:val="0000EE"/>
              </w:rPr>
              <w:t>Certification of Chief Financial Officer pursuant to Rules 13a-14(a) or 15d-14(a) of the Securities Exchange Act</w:t>
            </w:r>
          </w:p>
        </w:tc>
        <w:tc>
          <w:tcPr>
            <w:tcW w:w="0" w:type="dxa"/>
            <w:vAlign w:val="bottom"/>
          </w:tcPr>
          <w:p>
            <w:pPr>
              <w:spacing w:after="0"/>
              <w:rPr>
                <w:sz w:val="1"/>
                <w:szCs w:val="1"/>
                <w:color w:val="auto"/>
              </w:rPr>
            </w:pPr>
          </w:p>
        </w:tc>
      </w:tr>
      <w:tr>
        <w:trPr>
          <w:trHeight w:val="183"/>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80" w:type="dxa"/>
            <w:vAlign w:val="bottom"/>
          </w:tcPr>
          <w:p>
            <w:pPr>
              <w:spacing w:after="0"/>
              <w:rPr>
                <w:sz w:val="15"/>
                <w:szCs w:val="15"/>
                <w:color w:val="auto"/>
              </w:rPr>
            </w:pPr>
          </w:p>
        </w:tc>
        <w:tc>
          <w:tcPr>
            <w:tcW w:w="7680" w:type="dxa"/>
            <w:vAlign w:val="bottom"/>
            <w:tcBorders>
              <w:top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7"/>
                <w:szCs w:val="17"/>
                <w:color w:val="0000EE"/>
              </w:rPr>
              <w:t>of 1934, as adopted pursuant to Section 302 of the Sarbanes-Oxley Act of 2002 (filed herewith).</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11"/>
          </w:tcPr>
          <w:p>
            <w:pPr>
              <w:spacing w:after="0" w:line="183" w:lineRule="exact"/>
              <w:rPr>
                <w:sz w:val="20"/>
                <w:szCs w:val="20"/>
                <w:color w:val="auto"/>
              </w:rPr>
            </w:pPr>
            <w:r>
              <w:rPr>
                <w:rFonts w:ascii="Times New Roman" w:cs="Times New Roman" w:eastAsia="Times New Roman" w:hAnsi="Times New Roman"/>
                <w:sz w:val="17"/>
                <w:szCs w:val="17"/>
                <w:color w:val="0000EE"/>
              </w:rPr>
              <w:t>Certification of Chief Executive Officer pursuant to 18 U.S.C. Section 1350, as adopted pursuant to Section 906</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80" w:type="dxa"/>
            <w:vAlign w:val="bottom"/>
            <w:tcBorders>
              <w:top w:val="single" w:sz="8" w:color="0000EE"/>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EE"/>
              </w:rPr>
              <w:t>of the Sarbanes-Oxley Act of 2002 (furnished herewith).</w:t>
            </w:r>
          </w:p>
        </w:tc>
        <w:tc>
          <w:tcPr>
            <w:tcW w:w="3780" w:type="dxa"/>
            <w:vAlign w:val="bottom"/>
            <w:tcBorders>
              <w:top w:val="single" w:sz="8" w:color="0000EE"/>
            </w:tcBorders>
            <w:gridSpan w:val="4"/>
          </w:tcPr>
          <w:p>
            <w:pPr>
              <w:spacing w:after="0"/>
              <w:rPr>
                <w:sz w:val="15"/>
                <w:szCs w:val="15"/>
                <w:color w:val="auto"/>
              </w:rPr>
            </w:pPr>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7800" w:type="dxa"/>
            <w:vAlign w:val="bottom"/>
            <w:tcBorders>
              <w:bottom w:val="single" w:sz="8" w:color="0000EE"/>
            </w:tcBorders>
            <w:gridSpan w:val="11"/>
          </w:tcPr>
          <w:p>
            <w:pPr>
              <w:spacing w:after="0" w:line="169" w:lineRule="exact"/>
              <w:rPr>
                <w:sz w:val="20"/>
                <w:szCs w:val="20"/>
                <w:color w:val="auto"/>
              </w:rPr>
            </w:pPr>
            <w:r>
              <w:rPr>
                <w:rFonts w:ascii="Times New Roman" w:cs="Times New Roman" w:eastAsia="Times New Roman" w:hAnsi="Times New Roman"/>
                <w:sz w:val="17"/>
                <w:szCs w:val="17"/>
                <w:color w:val="0000EE"/>
              </w:rPr>
              <w:t>Certification of Chief Financial Officer pursuant to 18 U.S.C. Section 1350, as adopted pursuant to Section 906 of</w:t>
            </w:r>
          </w:p>
        </w:tc>
        <w:tc>
          <w:tcPr>
            <w:tcW w:w="0" w:type="dxa"/>
            <w:vAlign w:val="bottom"/>
          </w:tcPr>
          <w:p>
            <w:pPr>
              <w:spacing w:after="0"/>
              <w:rPr>
                <w:sz w:val="1"/>
                <w:szCs w:val="1"/>
                <w:color w:val="auto"/>
              </w:rPr>
            </w:pPr>
          </w:p>
        </w:tc>
      </w:tr>
      <w:tr>
        <w:trPr>
          <w:trHeight w:val="183"/>
        </w:trPr>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101 INS</w:t>
            </w:r>
          </w:p>
        </w:tc>
        <w:tc>
          <w:tcPr>
            <w:tcW w:w="7800" w:type="dxa"/>
            <w:vAlign w:val="bottom"/>
            <w:gridSpan w:val="11"/>
          </w:tcPr>
          <w:p>
            <w:pPr>
              <w:spacing w:after="0" w:line="183" w:lineRule="exact"/>
              <w:rPr>
                <w:sz w:val="20"/>
                <w:szCs w:val="20"/>
                <w:color w:val="auto"/>
              </w:rPr>
            </w:pPr>
            <w:r>
              <w:rPr>
                <w:rFonts w:ascii="Times New Roman" w:cs="Times New Roman" w:eastAsia="Times New Roman" w:hAnsi="Times New Roman"/>
                <w:sz w:val="17"/>
                <w:szCs w:val="17"/>
                <w:color w:val="0000EE"/>
              </w:rPr>
              <w:t>the Sarbanes-Oxley Act of 2002 (furnished herewith).</w:t>
            </w:r>
          </w:p>
        </w:tc>
        <w:tc>
          <w:tcPr>
            <w:tcW w:w="0" w:type="dxa"/>
            <w:vAlign w:val="bottom"/>
          </w:tcPr>
          <w:p>
            <w:pPr>
              <w:spacing w:after="0"/>
              <w:rPr>
                <w:sz w:val="1"/>
                <w:szCs w:val="1"/>
                <w:color w:val="auto"/>
              </w:rPr>
            </w:pPr>
          </w:p>
        </w:tc>
      </w:tr>
      <w:tr>
        <w:trPr>
          <w:trHeight w:val="201"/>
        </w:trPr>
        <w:tc>
          <w:tcPr>
            <w:tcW w:w="1000" w:type="dxa"/>
            <w:vAlign w:val="bottom"/>
            <w:gridSpan w:val="2"/>
            <w:vMerge w:val="continue"/>
          </w:tcPr>
          <w:p>
            <w:pPr>
              <w:spacing w:after="0"/>
              <w:rPr>
                <w:sz w:val="17"/>
                <w:szCs w:val="17"/>
                <w:color w:val="auto"/>
              </w:rPr>
            </w:pPr>
          </w:p>
        </w:tc>
        <w:tc>
          <w:tcPr>
            <w:tcW w:w="36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auto"/>
              </w:rPr>
              <w:t>Inline XBRL Instance Document (filed herewith).</w:t>
            </w:r>
          </w:p>
        </w:tc>
        <w:tc>
          <w:tcPr>
            <w:tcW w:w="41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101 SCH</w:t>
            </w:r>
          </w:p>
        </w:tc>
        <w:tc>
          <w:tcPr>
            <w:tcW w:w="78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 (filed herewith).</w:t>
            </w:r>
          </w:p>
        </w:tc>
        <w:tc>
          <w:tcPr>
            <w:tcW w:w="0" w:type="dxa"/>
            <w:vAlign w:val="bottom"/>
          </w:tcPr>
          <w:p>
            <w:pPr>
              <w:spacing w:after="0"/>
              <w:rPr>
                <w:sz w:val="1"/>
                <w:szCs w:val="1"/>
                <w:color w:val="auto"/>
              </w:rPr>
            </w:pPr>
          </w:p>
        </w:tc>
      </w:tr>
      <w:tr>
        <w:trPr>
          <w:trHeight w:val="203"/>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101 CAL</w:t>
            </w:r>
          </w:p>
        </w:tc>
        <w:tc>
          <w:tcPr>
            <w:tcW w:w="78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 (filed herewith).</w:t>
            </w:r>
          </w:p>
        </w:tc>
        <w:tc>
          <w:tcPr>
            <w:tcW w:w="0" w:type="dxa"/>
            <w:vAlign w:val="bottom"/>
          </w:tcPr>
          <w:p>
            <w:pPr>
              <w:spacing w:after="0"/>
              <w:rPr>
                <w:sz w:val="1"/>
                <w:szCs w:val="1"/>
                <w:color w:val="auto"/>
              </w:rPr>
            </w:pPr>
          </w:p>
        </w:tc>
      </w:tr>
      <w:tr>
        <w:trPr>
          <w:trHeight w:val="203"/>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101 DEF</w:t>
            </w:r>
          </w:p>
        </w:tc>
        <w:tc>
          <w:tcPr>
            <w:tcW w:w="78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 (filed herewith).</w:t>
            </w:r>
          </w:p>
        </w:tc>
        <w:tc>
          <w:tcPr>
            <w:tcW w:w="0" w:type="dxa"/>
            <w:vAlign w:val="bottom"/>
          </w:tcPr>
          <w:p>
            <w:pPr>
              <w:spacing w:after="0"/>
              <w:rPr>
                <w:sz w:val="1"/>
                <w:szCs w:val="1"/>
                <w:color w:val="auto"/>
              </w:rPr>
            </w:pPr>
          </w:p>
        </w:tc>
      </w:tr>
      <w:tr>
        <w:trPr>
          <w:trHeight w:val="203"/>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101 LAB</w:t>
            </w:r>
          </w:p>
        </w:tc>
        <w:tc>
          <w:tcPr>
            <w:tcW w:w="78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 (filed herewith).</w:t>
            </w:r>
          </w:p>
        </w:tc>
        <w:tc>
          <w:tcPr>
            <w:tcW w:w="0" w:type="dxa"/>
            <w:vAlign w:val="bottom"/>
          </w:tcPr>
          <w:p>
            <w:pPr>
              <w:spacing w:after="0"/>
              <w:rPr>
                <w:sz w:val="1"/>
                <w:szCs w:val="1"/>
                <w:color w:val="auto"/>
              </w:rPr>
            </w:pPr>
          </w:p>
        </w:tc>
      </w:tr>
      <w:tr>
        <w:trPr>
          <w:trHeight w:val="221"/>
        </w:trPr>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101 PRE</w:t>
            </w:r>
          </w:p>
        </w:tc>
        <w:tc>
          <w:tcPr>
            <w:tcW w:w="78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 (filed herewith).</w:t>
            </w:r>
          </w:p>
        </w:tc>
        <w:tc>
          <w:tcPr>
            <w:tcW w:w="0" w:type="dxa"/>
            <w:vAlign w:val="bottom"/>
          </w:tcPr>
          <w:p>
            <w:pPr>
              <w:spacing w:after="0"/>
              <w:rPr>
                <w:sz w:val="1"/>
                <w:szCs w:val="1"/>
                <w:color w:val="auto"/>
              </w:rPr>
            </w:pPr>
          </w:p>
        </w:tc>
      </w:tr>
    </w:tbl>
    <w:p>
      <w:pPr>
        <w:ind w:left="1120" w:hanging="430"/>
        <w:spacing w:after="0"/>
        <w:tabs>
          <w:tab w:leader="none" w:pos="11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6" w:lineRule="exact"/>
        <w:rPr>
          <w:rFonts w:ascii="Times New Roman" w:cs="Times New Roman" w:eastAsia="Times New Roman" w:hAnsi="Times New Roman"/>
          <w:sz w:val="17"/>
          <w:szCs w:val="17"/>
          <w:color w:val="auto"/>
        </w:rPr>
      </w:pPr>
    </w:p>
    <w:p>
      <w:pPr>
        <w:ind w:left="4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60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TELA BIO, INC.</w:t>
            </w:r>
          </w:p>
        </w:tc>
      </w:tr>
      <w:tr>
        <w:trPr>
          <w:trHeight w:val="43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17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ANTONY KOBLISH</w:t>
            </w:r>
          </w:p>
        </w:tc>
      </w:tr>
      <w:tr>
        <w:trPr>
          <w:trHeight w:val="189"/>
        </w:trPr>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Antony Koblish</w:t>
            </w:r>
          </w:p>
        </w:tc>
      </w:tr>
      <w:tr>
        <w:trPr>
          <w:trHeight w:val="216"/>
        </w:trPr>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2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17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ROBERTO CUCA</w:t>
            </w:r>
          </w:p>
        </w:tc>
      </w:tr>
      <w:tr>
        <w:trPr>
          <w:trHeight w:val="191"/>
        </w:trPr>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Roberto Cuca</w:t>
            </w:r>
          </w:p>
        </w:tc>
      </w:tr>
      <w:tr>
        <w:trPr>
          <w:trHeight w:val="216"/>
        </w:trPr>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Operating Officer, Chief Financial Officer and</w:t>
            </w:r>
          </w:p>
        </w:tc>
      </w:tr>
      <w:tr>
        <w:trPr>
          <w:trHeight w:val="214"/>
        </w:trPr>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Secretary</w:t>
            </w:r>
          </w:p>
        </w:tc>
      </w:tr>
      <w:tr>
        <w:trPr>
          <w:trHeight w:val="236"/>
        </w:trPr>
        <w:tc>
          <w:tcPr>
            <w:tcW w:w="2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17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MEGAN SMEYKAL</w:t>
            </w:r>
          </w:p>
        </w:tc>
      </w:tr>
      <w:tr>
        <w:trPr>
          <w:trHeight w:val="211"/>
        </w:trPr>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Megan Smeykal</w:t>
            </w:r>
          </w:p>
        </w:tc>
      </w:tr>
    </w:tbl>
    <w:p>
      <w:pPr>
        <w:jc w:val="center"/>
        <w:ind w:left="4600"/>
        <w:spacing w:after="0"/>
        <w:rPr>
          <w:sz w:val="20"/>
          <w:szCs w:val="20"/>
          <w:color w:val="auto"/>
        </w:rPr>
      </w:pPr>
      <w:r>
        <w:rPr>
          <w:rFonts w:ascii="Times New Roman" w:cs="Times New Roman" w:eastAsia="Times New Roman" w:hAnsi="Times New Roman"/>
          <w:sz w:val="18"/>
          <w:szCs w:val="18"/>
          <w:color w:val="auto"/>
        </w:rPr>
        <w:t>Chief Accounting Officer and Controller</w:t>
      </w:r>
    </w:p>
    <w:p>
      <w:pPr>
        <w:spacing w:after="0" w:line="7"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19" w:lineRule="exact"/>
        <w:rPr>
          <w:sz w:val="20"/>
          <w:szCs w:val="20"/>
          <w:color w:val="auto"/>
        </w:rPr>
      </w:pPr>
    </w:p>
    <w:p>
      <w:pPr>
        <w:ind w:left="2420" w:right="2400" w:hanging="24"/>
        <w:spacing w:after="0" w:line="258" w:lineRule="auto"/>
        <w:rPr>
          <w:sz w:val="20"/>
          <w:szCs w:val="20"/>
          <w:color w:val="auto"/>
        </w:rPr>
      </w:pPr>
      <w:r>
        <w:rPr>
          <w:rFonts w:ascii="Times New Roman" w:cs="Times New Roman" w:eastAsia="Times New Roman" w:hAnsi="Times New Roman"/>
          <w:sz w:val="18"/>
          <w:szCs w:val="18"/>
          <w:color w:val="auto"/>
        </w:rPr>
        <w:t>Pursuant to Rule 13a-14(a) under the Securities Exchange Act of 1934, as adopted pursuant to Section 302 of the Sarbanes-Oxley Act of 2002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Antony Koblish, certify that:</w:t>
      </w:r>
    </w:p>
    <w:p>
      <w:pPr>
        <w:spacing w:after="0" w:line="225"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TELA Bio,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2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3"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2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 Antony Koblish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06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Antony Koblish</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19" w:lineRule="exact"/>
        <w:rPr>
          <w:sz w:val="20"/>
          <w:szCs w:val="20"/>
          <w:color w:val="auto"/>
        </w:rPr>
      </w:pPr>
    </w:p>
    <w:p>
      <w:pPr>
        <w:ind w:left="2420" w:right="2400" w:hanging="24"/>
        <w:spacing w:after="0" w:line="258" w:lineRule="auto"/>
        <w:rPr>
          <w:sz w:val="20"/>
          <w:szCs w:val="20"/>
          <w:color w:val="auto"/>
        </w:rPr>
      </w:pPr>
      <w:r>
        <w:rPr>
          <w:rFonts w:ascii="Times New Roman" w:cs="Times New Roman" w:eastAsia="Times New Roman" w:hAnsi="Times New Roman"/>
          <w:sz w:val="18"/>
          <w:szCs w:val="18"/>
          <w:color w:val="auto"/>
        </w:rPr>
        <w:t>Pursuant to Rule 13a-14(a) under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Roberto Cuca, certify that:</w:t>
      </w:r>
    </w:p>
    <w:p>
      <w:pPr>
        <w:spacing w:after="0" w:line="225"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TELA Bio,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2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3"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2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 Roberto Cuca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17145</wp:posOffset>
            </wp:positionV>
            <wp:extent cx="29832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Roberto Cuca</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Chief Operating Officer, Chief Financial Officer and Corporate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that: Antony Koblish, Chief Executive Officer of TELA Bio, Inc. (the “Company”), hereby certifies that, to the best of his knowledge:</w:t>
      </w:r>
    </w:p>
    <w:p>
      <w:pPr>
        <w:spacing w:after="0" w:line="176" w:lineRule="exact"/>
        <w:rPr>
          <w:sz w:val="20"/>
          <w:szCs w:val="20"/>
          <w:color w:val="auto"/>
        </w:rPr>
      </w:pPr>
    </w:p>
    <w:p>
      <w:pPr>
        <w:ind w:left="660" w:right="100" w:hanging="328"/>
        <w:spacing w:after="0" w:line="26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Antony Koblish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Antony Koblish</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that: Roberto Cuca, Chief Operating Officer and Chief Financial Officer of TELA Bio, Inc. (the “Company”), hereby certifies that, to the best of his knowledge:</w:t>
      </w:r>
    </w:p>
    <w:p>
      <w:pPr>
        <w:spacing w:after="0" w:line="176" w:lineRule="exact"/>
        <w:rPr>
          <w:sz w:val="20"/>
          <w:szCs w:val="20"/>
          <w:color w:val="auto"/>
        </w:rPr>
      </w:pPr>
    </w:p>
    <w:p>
      <w:pPr>
        <w:ind w:left="660" w:right="120" w:hanging="328"/>
        <w:spacing w:after="0" w:line="266" w:lineRule="auto"/>
        <w:tabs>
          <w:tab w:leader="none" w:pos="6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32.2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Roberto Cuca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Roberto Cuca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Chief Operating Officer, Chief Financial Officer and Corporate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decimal"/>
      <w:start w:val="606"/>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2026-05-13T15:22:47Z</dcterms:created>
  <dcterms:modified xsi:type="dcterms:W3CDTF">2026-05-13T15:22:47Z</dcterms:modified>
</cp:coreProperties>
</file>