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134d1_s8.htm"/>
      <w:bookmarkStart w:id="1" w:name="kstm2622134d1_s8"/>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filed with the United States Securities and Exchange Commission on August 4,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8"/>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FORM S-8</w:t>
      </w:r>
      <w:r>
        <w:rPr>
          <w:rFonts w:ascii="Times New Roman;Times;Serif" w:hAnsi="Times New Roman;Times;Serif"/>
          <w:b w:val="false"/>
          <w:i w:val="false"/>
          <w:caps w:val="false"/>
          <w:smallCaps w:val="false"/>
          <w:sz w:val="28"/>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TELA BIO,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3740"/>
        <w:gridCol w:w="60"/>
        <w:gridCol w:w="2915"/>
      </w:tblGrid>
      <w:tr>
        <w:trPr/>
        <w:tc>
          <w:tcPr>
            <w:tcW w:w="3740" w:type="dxa"/>
            <w:tcBorders/>
            <w:vAlign w:val="center"/>
          </w:tcPr>
          <w:p>
            <w:pPr>
              <w:pStyle w:val="TableContents"/>
              <w:bidi w:val="0"/>
              <w:spacing w:before="0" w:after="283"/>
              <w:jc w:val="center"/>
              <w:rPr/>
            </w:pPr>
            <w:r>
              <w:rPr>
                <w:rFonts w:ascii="Times New Roman;Times;Serif" w:hAnsi="Times New Roman;Times;Serif"/>
                <w:b/>
                <w:sz w:val="20"/>
              </w:rPr>
              <w:t>Delaware</w:t>
            </w: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45-5320061</w:t>
            </w:r>
          </w:p>
        </w:tc>
      </w:tr>
      <w:tr>
        <w:trPr/>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w:t>
              <w:br/>
              <w:t>organization)</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pPr>
            <w:r>
              <w:rPr>
                <w:rFonts w:ascii="Times New Roman;Times;Serif" w:hAnsi="Times New Roman;Times;Serif"/>
                <w:b/>
                <w:sz w:val="20"/>
              </w:rPr>
              <w:t>1 Great Valley Parkway, Suite 24</w:t>
            </w:r>
            <w:r>
              <w:rPr/>
              <w:t xml:space="preserve"> </w:t>
            </w:r>
            <w:r>
              <w:rPr>
                <w:b/>
              </w:rPr>
              <w:br/>
              <w:t xml:space="preserve">Malvern, Pennsylvania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19355</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INDUCEMENT AWARDS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RESTRICTED STOCK UNIT INDUCEMENT AWARDS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Heather Getz</w:t>
        <w:br/>
        <w:t>Chief Executive Officer</w:t>
        <w:br/>
        <w:t>TELA Bio, Inc.</w:t>
        <w:br/>
        <w:t>1 Great Valley Parkway, Suite 24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Malvern, Pennsylvania 19355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(484) 320-2930</w:t>
        <w:br/>
      </w: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Copies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Rachael M. Bushey, Esq.</w:t>
        <w:br/>
        <w:t>Justin S. Platt, Esq.</w:t>
        <w:br/>
        <w:t>Goodwin Procter LLP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3025 John F Kennedy Blvd</w:t>
        <w:br/>
        <w:t>Philadelphia, PA 19104</w:t>
        <w:br/>
        <w:t>(445) 207-7805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Large accelerated filer ☐</w:t>
            </w:r>
          </w:p>
        </w:tc>
        <w:tc>
          <w:tcPr>
            <w:tcW w:w="24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Accelerated filer ☐</w:t>
            </w:r>
          </w:p>
        </w:tc>
      </w:tr>
      <w:tr>
        <w:trPr/>
        <w:tc>
          <w:tcPr>
            <w:tcW w:w="20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Non-accelerated filer ☒</w:t>
            </w:r>
          </w:p>
        </w:tc>
        <w:tc>
          <w:tcPr>
            <w:tcW w:w="24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0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registers shares of common stock, $0.001 par value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TELA Bio, Inc. (the “</w:t>
      </w:r>
      <w:r>
        <w:rPr>
          <w:rFonts w:ascii="Times New Roman;Times;Serif" w:hAnsi="Times New Roman;Times;Serif"/>
          <w:b w:val="false"/>
          <w:i w:val="false"/>
          <w:caps w:val="false"/>
          <w:smallCaps w:val="false"/>
          <w:sz w:val="20"/>
          <w:u w:val="single"/>
        </w:rPr>
        <w:t>Registrant</w:t>
      </w:r>
      <w:r>
        <w:rPr>
          <w:rFonts w:ascii="Times New Roman;Times;Serif" w:hAnsi="Times New Roman;Times;Serif"/>
          <w:b w:val="false"/>
          <w:i w:val="false"/>
          <w:caps w:val="false"/>
          <w:smallCaps w:val="false"/>
          <w:sz w:val="20"/>
        </w:rPr>
        <w:t>”) issuable pursuant to the inducement awards, as described below. As a material inducement to the individuals listed below to accept employment with the Registrant, the Registrant granted the following equity awards to such individuals (the “</w:t>
      </w:r>
      <w:r>
        <w:rPr>
          <w:rFonts w:ascii="Times New Roman;Times;Serif" w:hAnsi="Times New Roman;Times;Serif"/>
          <w:b w:val="false"/>
          <w:i w:val="false"/>
          <w:caps w:val="false"/>
          <w:smallCaps w:val="false"/>
          <w:sz w:val="20"/>
          <w:u w:val="single"/>
        </w:rPr>
        <w:t>Inducement Awards</w:t>
      </w:r>
      <w:r>
        <w:rPr>
          <w:rFonts w:ascii="Times New Roman;Times;Serif" w:hAnsi="Times New Roman;Times;Serif"/>
          <w:b w:val="false"/>
          <w:i w:val="false"/>
          <w:caps w:val="false"/>
          <w:smallCaps w:val="false"/>
          <w:sz w:val="20"/>
        </w:rPr>
        <w:t>”) on the dates detailed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Restricted stock unit awards (“</w:t>
            </w:r>
            <w:r>
              <w:rPr>
                <w:u w:val="single"/>
              </w:rPr>
              <w:t>RSU Awards</w:t>
            </w:r>
            <w:r>
              <w:rPr/>
              <w:t>”) with respect to an aggregate of 89,250 shares of Common Stock granted to 12 newly-hired employees on May 5, 2026;</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Stock options to purchase 1,365,000 shares of Common Stock granted to 1 newly-hired employee on August 3, 2026;</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Premium-priced stock options to purchase 1,005,000 shares of Common Stock granted to 1 newly-hired employee on August 3, 2026;</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RSU Awards with respect to 500,000 shares of Common Stock granted to 1 newly-hired employee on August 3, 2026;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RSU Awards with respect to 95,500 shares of Common Stock granted to 11 newly-hired employees on August 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Inducement Award was approved by either the Registrant’s Board of Directors or the Registrant’s Compensation Committee of the Board of Directors in compliance with and in reliance on Nasdaq Listing Rule 5635(c)(4). The Inducement Awards were granted outside of the Registrant’s Amended and Restated 2019 Equity Incentive Plan, as amended, and its predecessor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b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specified in Part I of Form S-8 is omitted from this filing in accordance with the provisions of Rule 428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the introductory note to Part I of the Form S-8 instructions. The documents containing the information specified in Part I will be delivered to persons to whom the Inducement Awards have been granted as required by Rule 428(b)(1)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b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20"/>
        <w:gridCol w:w="365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3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Incorporation of Documents by Reference.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which have been filed by the Registrant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are incorporated by reference in, and shall be deemed to be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pPr>
      <w:r>
        <w:rPr>
          <w:rFonts w:ascii="Times New Roman;Times;Serif" w:hAnsi="Times New Roman;Times;Serif"/>
          <w:b w:val="false"/>
          <w:i w:val="false"/>
          <w:caps w:val="false"/>
          <w:smallCaps w:val="false"/>
          <w:sz w:val="20"/>
        </w:rPr>
        <w:t xml:space="preserve">(a) </w:t>
      </w:r>
      <w:hyperlink r:id="rId2">
        <w:r>
          <w:rPr>
            <w:rStyle w:val="InternetLink"/>
            <w:rFonts w:ascii="Times New Roman;Times;Serif" w:hAnsi="Times New Roman;Times;Serif"/>
            <w:b w:val="false"/>
            <w:i w:val="false"/>
            <w:caps w:val="false"/>
            <w:smallCaps w:val="false"/>
            <w:sz w:val="20"/>
          </w:rPr>
          <w:t>The Registrant’s Annual Report on Form 10-K for the fiscal year ended December 31, 2025, filed with the Commission on March 25, 2026 (the “2025 10-K”)</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pPr>
      <w:r>
        <w:rPr>
          <w:rFonts w:ascii="Times New Roman;Times;Serif" w:hAnsi="Times New Roman;Times;Serif"/>
          <w:b w:val="false"/>
          <w:i w:val="false"/>
          <w:caps w:val="false"/>
          <w:smallCaps w:val="false"/>
          <w:sz w:val="20"/>
        </w:rPr>
        <w:t>(b)  </w:t>
      </w:r>
      <w:hyperlink r:id="rId3">
        <w:r>
          <w:rPr>
            <w:rStyle w:val="InternetLink"/>
            <w:rFonts w:ascii="Times New Roman;Times;Serif" w:hAnsi="Times New Roman;Times;Serif"/>
            <w:b w:val="false"/>
            <w:i w:val="false"/>
            <w:caps w:val="false"/>
            <w:smallCaps w:val="false"/>
            <w:sz w:val="20"/>
          </w:rPr>
          <w:t>The Registrant’s Quarterly Report on Form 10-Q for the quarter ended March 31, 2026, filed with the Commission on May 13, 2026</w:t>
        </w:r>
      </w:hyperlink>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pPr>
      <w:r>
        <w:rPr>
          <w:rFonts w:ascii="Times New Roman;Times;Serif" w:hAnsi="Times New Roman;Times;Serif"/>
          <w:b w:val="false"/>
          <w:i w:val="false"/>
          <w:caps w:val="false"/>
          <w:smallCaps w:val="false"/>
          <w:sz w:val="20"/>
        </w:rPr>
        <w:t xml:space="preserve">(c) </w:t>
      </w:r>
      <w:hyperlink r:id="rId4">
        <w:r>
          <w:rPr>
            <w:rStyle w:val="InternetLink"/>
            <w:rFonts w:ascii="Times New Roman;Times;Serif" w:hAnsi="Times New Roman;Times;Serif"/>
            <w:b w:val="false"/>
            <w:i w:val="false"/>
            <w:caps w:val="false"/>
            <w:smallCaps w:val="false"/>
            <w:sz w:val="20"/>
          </w:rPr>
          <w:t>The Registrant’s Definitive Proxy Statement on Schedule 14A filed with the Commission on April 30, 2026, to the extent incorporated by reference into the 2025 10-K</w:t>
        </w:r>
      </w:hyperlink>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pPr>
      <w:r>
        <w:rPr>
          <w:rFonts w:ascii="Times New Roman;Times;Serif" w:hAnsi="Times New Roman;Times;Serif"/>
          <w:b w:val="false"/>
          <w:i w:val="false"/>
          <w:caps w:val="false"/>
          <w:smallCaps w:val="false"/>
          <w:sz w:val="20"/>
        </w:rPr>
        <w:t xml:space="preserve">(d) The Registrant’s Current Reports on Form 8-K (other than portions thereof furnished under Item 2.02 or Item 7.01 of Form 8-K and exhibits accompanying such reports that are related to such items) filed with the Commission on </w:t>
      </w:r>
      <w:hyperlink r:id="rId5">
        <w:r>
          <w:rPr>
            <w:rStyle w:val="InternetLink"/>
            <w:rFonts w:ascii="Times New Roman;Times;Serif" w:hAnsi="Times New Roman;Times;Serif"/>
            <w:b w:val="false"/>
            <w:i w:val="false"/>
            <w:caps w:val="false"/>
            <w:smallCaps w:val="false"/>
            <w:sz w:val="20"/>
          </w:rPr>
          <w:t>March 20,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April 30,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June 11, 2026</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rPr>
          <w:t>August 4, 2026</w:t>
        </w:r>
      </w:hyperlink>
      <w:r>
        <w:rPr>
          <w:rFonts w:ascii="Times New Roman;Times;Serif" w:hAnsi="Times New Roman;Times;Serif"/>
          <w:b w:val="false"/>
          <w:i w:val="false"/>
          <w:caps w:val="false"/>
          <w:smallCaps w:val="false"/>
          <w:sz w:val="20"/>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pPr>
      <w:r>
        <w:rPr>
          <w:rFonts w:ascii="Times New Roman;Times;Serif" w:hAnsi="Times New Roman;Times;Serif"/>
          <w:b w:val="false"/>
          <w:i w:val="false"/>
          <w:caps w:val="false"/>
          <w:smallCaps w:val="false"/>
          <w:sz w:val="20"/>
        </w:rPr>
        <w:t xml:space="preserve">(e) </w:t>
      </w:r>
      <w:hyperlink r:id="rId9">
        <w:r>
          <w:rPr>
            <w:rStyle w:val="InternetLink"/>
            <w:rFonts w:ascii="Times New Roman;Times;Serif" w:hAnsi="Times New Roman;Times;Serif"/>
            <w:b w:val="false"/>
            <w:i w:val="false"/>
            <w:caps w:val="false"/>
            <w:smallCaps w:val="false"/>
            <w:sz w:val="20"/>
          </w:rPr>
          <w:t>The description of the Registrant’s Common Stock contained in the Registrant’s Registration Statement on Form 8-A filed with the Commission on November 7, 2019 (File No. 001-39130), together with any amendment thereto filed with the Commission for the purpose of updating such description</w:t>
        </w:r>
      </w:hyperlink>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documents subsequently filed by the Registrant pursuant to Sections 13(a), 13(c), 14 and 15(d)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provided, however, that documents, reports and definitive proxy or information statements, or portions thereof, which are furnished and not filed in accordance with the rules of the Commission shall not be deemed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620"/>
        <w:gridCol w:w="218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2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Description of Securities.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620"/>
        <w:gridCol w:w="348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p>
        </w:tc>
        <w:tc>
          <w:tcPr>
            <w:tcW w:w="3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Interests of Named Experts and Counsel.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620"/>
        <w:gridCol w:w="360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6.</w:t>
            </w:r>
          </w:p>
        </w:tc>
        <w:tc>
          <w:tcPr>
            <w:tcW w:w="36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Indemnification of Directors and Officers.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is qualified in its entirety by reference to the complete Delaware General Corporation Law (“DGCL”) and the Registrant’s Third 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governed by the DGCL. Section 145 of the DGCL provides that a corporation may indemnify any person, including an officer or director, who was or is, or is threatened to be made, a party to any threatened, pending or completed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partnership, joint venture, trust or other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actions or proceedings, had no reasonable cause to believe that such person’s conduct was unlawful. A Delaware corporation may indemnify any person, including an officer or director, who was or is, or is threatened to be made, a party to any threatened, pending or completed action or suit by or in the right of such corporation, under the same conditions, except that such indemnification is limited to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Third Amended and Restated Bylaws provide that: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The Registrant will indemnify its directors and officers to the fullest extent permitted by the DGCL, as it now exists or may in the future be amended; and</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The Registrant will advance reasonable expenses incurred by or on behalf of its directors and, at the discretion of the Registrant’s Board of Directors, any officer or non-officer employee in connection with legal proceedings relating to their service for or on behalf of the Registrant.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Section 102(b)(7) of the DGCL, which enables a corporation in its original certificate of incorporation or an amendment thereto to eliminate or limit the personal liability of a director or officer for violations of the director’s or officers’ fiduciary duty, except (i) for any breach of the director’s or officers’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or unlawful stock purchase or redemptions, (iv) for any transaction from which a director or officer derived an improper personal benefit or (v) an officer in any action by or in right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Fourth Amended and Restated Certificate of Incorporation, as amended, includes such a provision, consistent with Section 102(b)(7)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each of its directors and certain of its officers. These agreements provide that the Registrant will indemnify each of its directors and certain of its officers to the fullest extent permitted by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will advance expenses, including attorneys’ fees (but excluding judgments, fines and settlement amounts), to each indemnified director or executive officer in connection with any proceeding in which indemnification is available and the Registrant will indemnify our directors and officers for any action or proceeding arising out of that person’s services as a director or officer brought on behalf of the Registrant or in furtherance of the Registrant’s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also maintains general liability insurance which covers certain liabilities of its directors and officers arising out of claims based on acts or omissions in their capacities as directors or officers and the Registrant intends to maintain such coverage.</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20"/>
        <w:gridCol w:w="338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w:t>
            </w:r>
          </w:p>
        </w:tc>
        <w:tc>
          <w:tcPr>
            <w:tcW w:w="3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Exemption from Registration Claimed.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620"/>
        <w:gridCol w:w="83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w:t>
            </w:r>
          </w:p>
        </w:tc>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Exhibits.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exhibits 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725" w:type="dxa"/>
            <w:tcBorders/>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sz w:val="20"/>
                </w:rPr>
                <w:t>3.1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sz w:val="20"/>
                </w:rPr>
                <w:t>Fourth Amended and Restated Certificate of Incorporation of TELA Bio, Inc. (incorporated herein by reference to Exhibit 3.1 to the Company’s Current Report on Form 8-K (File No. 001-39130) filed on November 19, 2019).</w:t>
              </w:r>
            </w:hyperlink>
          </w:p>
        </w:tc>
      </w:tr>
      <w:tr>
        <w:trPr/>
        <w:tc>
          <w:tcPr>
            <w:tcW w:w="725" w:type="dxa"/>
            <w:tcBorders/>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3.2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sz w:val="20"/>
                </w:rPr>
                <w:t>Certificate of Amendment to TELA Bio, Inc.’s Fourth Amended and Restated Certificate of Incorporation (incorporated by reference to Exhibit 3.1 to the Company’s Quarterly Report on Form 10-Q (File No. 001-39130) filed on August 11, 2025).</w:t>
              </w:r>
            </w:hyperlink>
          </w:p>
        </w:tc>
      </w:tr>
      <w:tr>
        <w:trPr/>
        <w:tc>
          <w:tcPr>
            <w:tcW w:w="725" w:type="dxa"/>
            <w:tcBorders/>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3.3</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15">
              <w:r>
                <w:rPr>
                  <w:rStyle w:val="InternetLink"/>
                  <w:rFonts w:ascii="Times New Roman;Times;Serif" w:hAnsi="Times New Roman;Times;Serif"/>
                  <w:sz w:val="20"/>
                </w:rPr>
                <w:t>Third Amended and Restated Bylaws of TELA Bio, Inc. (incorporated herein by reference to Exhibit 3.1 to the Company’s Quarterly Report on Form 10-Q (File No. 001-39130) filed on November 13, 2023).</w:t>
              </w:r>
            </w:hyperlink>
          </w:p>
        </w:tc>
      </w:tr>
      <w:tr>
        <w:trPr/>
        <w:tc>
          <w:tcPr>
            <w:tcW w:w="725" w:type="dxa"/>
            <w:tcBorders/>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17">
              <w:r>
                <w:rPr>
                  <w:rStyle w:val="InternetLink"/>
                  <w:rFonts w:ascii="Times New Roman;Times;Serif" w:hAnsi="Times New Roman;Times;Serif"/>
                  <w:sz w:val="20"/>
                </w:rPr>
                <w:t xml:space="preserve">Form of Certificate of Common Stock (incorporated herein by reference to Exhibit 4.1 to the Company’s Registration Statement on Form S-1 (File No. 333-234217) filed on October 29, 2019). </w:t>
              </w:r>
            </w:hyperlink>
          </w:p>
        </w:tc>
      </w:tr>
      <w:tr>
        <w:trPr/>
        <w:tc>
          <w:tcPr>
            <w:tcW w:w="725" w:type="dxa"/>
            <w:tcBorders/>
            <w:tcMar>
              <w:bottom w:w="0" w:type="dxa"/>
            </w:tcMar>
            <w:vAlign w:val="center"/>
          </w:tcPr>
          <w:p>
            <w:pPr>
              <w:pStyle w:val="TableContents"/>
              <w:bidi w:val="0"/>
              <w:spacing w:before="0" w:after="283"/>
              <w:jc w:val="left"/>
              <w:rPr/>
            </w:pPr>
            <w:hyperlink w:anchor="tm2622134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134d1_ex5-1.htm">
              <w:r>
                <w:rPr>
                  <w:rStyle w:val="InternetLink"/>
                  <w:rFonts w:ascii="Times New Roman;Times;Serif" w:hAnsi="Times New Roman;Times;Serif"/>
                  <w:sz w:val="20"/>
                </w:rPr>
                <w:t>Opinion of Goodwin Procter LLP as to the legality of the securities being registered.</w:t>
              </w:r>
            </w:hyperlink>
          </w:p>
        </w:tc>
      </w:tr>
      <w:tr>
        <w:trPr/>
        <w:tc>
          <w:tcPr>
            <w:tcW w:w="725" w:type="dxa"/>
            <w:tcBorders/>
            <w:tcMar>
              <w:bottom w:w="0" w:type="dxa"/>
            </w:tcMar>
            <w:vAlign w:val="center"/>
          </w:tcPr>
          <w:p>
            <w:pPr>
              <w:pStyle w:val="TableContents"/>
              <w:bidi w:val="0"/>
              <w:spacing w:before="0" w:after="283"/>
              <w:jc w:val="left"/>
              <w:rPr/>
            </w:pPr>
            <w:hyperlink w:anchor="tm2622134d1_ex23-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134d1_ex23-1.htm">
              <w:r>
                <w:rPr>
                  <w:rStyle w:val="InternetLink"/>
                  <w:rFonts w:ascii="Times New Roman;Times;Serif" w:hAnsi="Times New Roman;Times;Serif"/>
                  <w:sz w:val="20"/>
                </w:rPr>
                <w:t>Consent of KPMG LLP, independent registered public accounting firm for TELA Bio, Inc.</w:t>
              </w:r>
            </w:hyperlink>
          </w:p>
        </w:tc>
      </w:tr>
      <w:tr>
        <w:trPr/>
        <w:tc>
          <w:tcPr>
            <w:tcW w:w="725" w:type="dxa"/>
            <w:tcBorders/>
            <w:tcMar>
              <w:bottom w:w="0" w:type="dxa"/>
            </w:tcMar>
            <w:vAlign w:val="center"/>
          </w:tcPr>
          <w:p>
            <w:pPr>
              <w:pStyle w:val="TableContents"/>
              <w:bidi w:val="0"/>
              <w:spacing w:before="0" w:after="283"/>
              <w:jc w:val="left"/>
              <w:rPr/>
            </w:pPr>
            <w:hyperlink w:anchor="tm2622134d1_ex5-1.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134d1_ex5-1.htm">
              <w:r>
                <w:rPr>
                  <w:rStyle w:val="InternetLink"/>
                  <w:rFonts w:ascii="Times New Roman;Times;Serif" w:hAnsi="Times New Roman;Times;Serif"/>
                  <w:sz w:val="20"/>
                </w:rPr>
                <w:t>Consent of Goodwin Procter LLP (contained in Exhibit 5.1).</w:t>
              </w:r>
            </w:hyperlink>
          </w:p>
        </w:tc>
      </w:tr>
      <w:tr>
        <w:trPr/>
        <w:tc>
          <w:tcPr>
            <w:tcW w:w="725" w:type="dxa"/>
            <w:tcBorders/>
            <w:tcMar>
              <w:bottom w:w="0" w:type="dxa"/>
            </w:tcMar>
            <w:vAlign w:val="center"/>
          </w:tcPr>
          <w:p>
            <w:pPr>
              <w:pStyle w:val="TableContents"/>
              <w:bidi w:val="0"/>
              <w:spacing w:before="0" w:after="283"/>
              <w:jc w:val="left"/>
              <w:rPr/>
            </w:pPr>
            <w:hyperlink w:anchor="m_001">
              <w:r>
                <w:rPr>
                  <w:rStyle w:val="InternetLink"/>
                  <w:rFonts w:ascii="Times New Roman;Times;Serif" w:hAnsi="Times New Roman;Times;Serif"/>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m_001">
              <w:r>
                <w:rPr>
                  <w:rStyle w:val="InternetLink"/>
                  <w:rFonts w:ascii="Times New Roman;Times;Serif" w:hAnsi="Times New Roman;Times;Serif"/>
                  <w:sz w:val="20"/>
                </w:rPr>
                <w:t>Power of Attorney (included on the signature page of the Registration Statement).</w:t>
              </w:r>
            </w:hyperlink>
          </w:p>
        </w:tc>
      </w:tr>
      <w:tr>
        <w:trPr/>
        <w:tc>
          <w:tcPr>
            <w:tcW w:w="725" w:type="dxa"/>
            <w:tcBorders/>
            <w:tcMar>
              <w:bottom w:w="0" w:type="dxa"/>
            </w:tcMar>
            <w:vAlign w:val="center"/>
          </w:tcPr>
          <w:p>
            <w:pPr>
              <w:pStyle w:val="TableContents"/>
              <w:bidi w:val="0"/>
              <w:spacing w:before="0" w:after="283"/>
              <w:jc w:val="left"/>
              <w:rPr/>
            </w:pPr>
            <w:hyperlink r:id="rId18">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19">
              <w:r>
                <w:rPr>
                  <w:rStyle w:val="InternetLink"/>
                  <w:rFonts w:ascii="Times New Roman;Times;Serif" w:hAnsi="Times New Roman;Times;Serif"/>
                  <w:sz w:val="20"/>
                </w:rPr>
                <w:t>Form of TELA Bio, Inc. Inducement Award Agreement for Non-Qualified Stock Option (incorporated herein by reference to Exhibit 10.16 of the Company’s Annual Report on Form 10-K (File No. 001-39130 filed on March 23, 2023).</w:t>
              </w:r>
            </w:hyperlink>
          </w:p>
        </w:tc>
      </w:tr>
      <w:tr>
        <w:trPr/>
        <w:tc>
          <w:tcPr>
            <w:tcW w:w="725" w:type="dxa"/>
            <w:tcBorders/>
            <w:tcMar>
              <w:bottom w:w="0" w:type="dxa"/>
            </w:tcMar>
            <w:vAlign w:val="center"/>
          </w:tcPr>
          <w:p>
            <w:pPr>
              <w:pStyle w:val="TableContents"/>
              <w:bidi w:val="0"/>
              <w:spacing w:before="0" w:after="283"/>
              <w:jc w:val="left"/>
              <w:rPr/>
            </w:pPr>
            <w:hyperlink r:id="rId20">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21">
              <w:r>
                <w:rPr>
                  <w:rStyle w:val="InternetLink"/>
                  <w:rFonts w:ascii="Times New Roman;Times;Serif" w:hAnsi="Times New Roman;Times;Serif"/>
                  <w:sz w:val="20"/>
                </w:rPr>
                <w:t>Form of TELA Bio, Inc. Inducement Award Agreement for Restricted Stock Unit (incorporated herein by reference to Exhibit 10.17 of the Company’s Annual Report on Form 10-K (File No. 001-39130) filed on March 23, 2023).</w:t>
              </w:r>
            </w:hyperlink>
          </w:p>
        </w:tc>
      </w:tr>
      <w:tr>
        <w:trPr/>
        <w:tc>
          <w:tcPr>
            <w:tcW w:w="725" w:type="dxa"/>
            <w:tcBorders/>
            <w:tcMar>
              <w:bottom w:w="0" w:type="dxa"/>
            </w:tcMar>
            <w:vAlign w:val="center"/>
          </w:tcPr>
          <w:p>
            <w:pPr>
              <w:pStyle w:val="TableContents"/>
              <w:bidi w:val="0"/>
              <w:spacing w:before="0" w:after="283"/>
              <w:jc w:val="left"/>
              <w:rPr/>
            </w:pPr>
            <w:hyperlink w:anchor="tm2622134d1_ex-filingfees.htm">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134d1_ex-filingfee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185"/>
        <w:gridCol w:w="558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c>
          <w:tcPr>
            <w:tcW w:w="5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Filed herewith </w:t>
            </w:r>
          </w:p>
        </w:tc>
      </w:tr>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Denotes 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20"/>
        <w:gridCol w:w="126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w:t>
            </w:r>
          </w:p>
        </w:tc>
        <w:tc>
          <w:tcPr>
            <w:tcW w:w="12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Undertakings.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15(d) of the Exchange Act that are incorporated by reference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m_001"/>
      <w:bookmarkEnd w:id="2"/>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Borough of Malvern, Commonwealth of Pennsylvania, on August 4, 2026.</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335"/>
        <w:gridCol w:w="3020"/>
        <w:gridCol w:w="75"/>
      </w:tblGrid>
      <w:tr>
        <w:trPr/>
        <w:tc>
          <w:tcPr>
            <w:tcW w:w="33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TELA BIO, INC.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Heather Getz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Heather Getz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 and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KNOW ALL PERSONS BY THESE PRESENTS</w:t>
      </w:r>
      <w:r>
        <w:rPr>
          <w:rFonts w:ascii="Times New Roman;Times;Serif" w:hAnsi="Times New Roman;Times;Serif"/>
          <w:b w:val="false"/>
          <w:i w:val="false"/>
          <w:caps w:val="false"/>
          <w:smallCaps w:val="false"/>
          <w:sz w:val="20"/>
        </w:rPr>
        <w:t>, that each person whose signature appears below hereby constitutes and appoints each of Heather Getz and Roberto Cuca as his or her true and lawful attorney-in-fact and agent with full power of substitution, for him or her in any and all capacities, to sign any and all amendments to this Registration Statement (including post-effective amendments), and to file the same, with all exhibits thereto and other documents in connection therewith, with the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 indicated.</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28" w:type="dxa"/>
          <w:right w:w="0" w:type="dxa"/>
        </w:tblCellMar>
      </w:tblPr>
      <w:tblGrid>
        <w:gridCol w:w="1745"/>
        <w:gridCol w:w="60"/>
        <w:gridCol w:w="5015"/>
        <w:gridCol w:w="60"/>
        <w:gridCol w:w="1280"/>
      </w:tblGrid>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50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2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Heather Getz</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Heather Getz </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 Roberto Cuca </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Operating Officer, Chief Financial Officer and Secretary</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Roberto Cuca</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Officer)</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Megan Smeykal</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Accounting Officer and Controller</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Megan Smeykal</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Accounting Officer)</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Joseph Capper</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Board of Directors</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Joseph Capper</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Guy Nohra</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Guy Nohra</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Paul Thomas</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Paul Thomas</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 Guido Neels </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Guido Neels </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 Betty Jo Rocchio </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Betty Jo Rocchio</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 William Plovanic </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William Plovanic</w:t>
            </w:r>
          </w:p>
        </w:tc>
        <w:tc>
          <w:tcPr>
            <w:tcW w:w="60" w:type="dxa"/>
            <w:tcBorders/>
            <w:tcMar>
              <w:bottom w:w="0" w:type="dxa"/>
            </w:tcMar>
            <w:vAlign w:val="center"/>
          </w:tcPr>
          <w:p>
            <w:pPr>
              <w:pStyle w:val="TableContents"/>
              <w:bidi w:val="0"/>
              <w:spacing w:before="0" w:after="283"/>
              <w:jc w:val="center"/>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3" w:name="tm2622134d1_ex5-1.htm"/>
      <w:bookmarkStart w:id="4" w:name="kstm2622134d1_ex51"/>
      <w:bookmarkEnd w:id="3"/>
      <w:bookmarkEnd w:id="4"/>
      <w:r>
        <w:rPr/>
        <w:t> </w:t>
      </w:r>
      <w:r>
        <w:br w:type="page"/>
      </w:r>
    </w:p>
    <w:p>
      <w:pPr>
        <w:pStyle w:val="TextBody"/>
        <w:bidi w:val="0"/>
        <w:jc w:val="right"/>
        <w:rPr>
          <w:b/>
        </w:rPr>
      </w:pPr>
      <w:r>
        <w:rPr>
          <w:b/>
        </w:rPr>
        <w:t>Exhibit 5.1</w:t>
      </w:r>
    </w:p>
    <w:p>
      <w:pPr>
        <w:pStyle w:val="TextBody"/>
        <w:bidi w:val="0"/>
        <w:spacing w:before="0" w:after="0"/>
        <w:ind w:left="0" w:right="0" w:hanging="0"/>
        <w:jc w:val="left"/>
        <w:rPr>
          <w:caps w:val="false"/>
          <w:smallCaps w:val="false"/>
        </w:rPr>
      </w:pPr>
      <w:r>
        <w:rPr>
          <w:caps w:val="false"/>
          <w:smallCaps w:val="false"/>
        </w:rPr>
        <w:t> </w:t>
      </w:r>
    </w:p>
    <w:tbl>
      <w:tblPr>
        <w:tblW w:w="5570" w:type="dxa"/>
        <w:jc w:val="left"/>
        <w:tblInd w:w="0" w:type="dxa"/>
        <w:tblLayout w:type="fixed"/>
        <w:tblCellMar>
          <w:top w:w="0" w:type="dxa"/>
          <w:left w:w="0" w:type="dxa"/>
          <w:bottom w:w="0" w:type="dxa"/>
          <w:right w:w="0" w:type="dxa"/>
        </w:tblCellMar>
      </w:tblPr>
      <w:tblGrid>
        <w:gridCol w:w="3300"/>
        <w:gridCol w:w="2270"/>
      </w:tblGrid>
      <w:tr>
        <w:trPr/>
        <w:tc>
          <w:tcPr>
            <w:tcW w:w="330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04787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2"/>
                          <a:stretch>
                            <a:fillRect/>
                          </a:stretch>
                        </pic:blipFill>
                        <pic:spPr bwMode="auto">
                          <a:xfrm>
                            <a:off x="0" y="0"/>
                            <a:ext cx="2047875" cy="514350"/>
                          </a:xfrm>
                          <a:prstGeom prst="rect">
                            <a:avLst/>
                          </a:prstGeom>
                        </pic:spPr>
                      </pic:pic>
                    </a:graphicData>
                  </a:graphic>
                </wp:inline>
              </w:drawing>
            </w:r>
            <w:r>
              <w:rPr>
                <w:caps w:val="false"/>
                <w:smallCaps w:val="false"/>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br/>
              <w:t>3025 John F Kennedy Blvd</w:t>
              <w:br/>
              <w:t>Philadelphia, PA 19104</w:t>
              <w:br/>
              <w:br/>
              <w:br/>
              <w:t>goodwinlaw.com</w:t>
              <w:br/>
              <w:t>+1 445 207 7800</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TELA Bio,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Great Valley Parkway, Suite 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Malvern, PA 19355</w:t>
      </w:r>
    </w:p>
    <w:p>
      <w:pPr>
        <w:pStyle w:val="TextBody"/>
        <w:bidi w:val="0"/>
        <w:spacing w:before="0" w:after="0"/>
        <w:ind w:left="0" w:right="0" w:hanging="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35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6695" w:type="dxa"/>
            <w:tcBorders/>
            <w:vAlign w:val="center"/>
          </w:tcPr>
          <w:p>
            <w:pPr>
              <w:pStyle w:val="TableContents"/>
              <w:bidi w:val="0"/>
              <w:spacing w:before="0" w:after="283"/>
              <w:jc w:val="both"/>
              <w:rPr>
                <w:u w:val="single"/>
              </w:rPr>
            </w:pPr>
            <w:r>
              <w:rPr>
                <w:u w:val="single"/>
              </w:rPr>
              <w:t>Securities Being Registered under Registration Statement on Form S-8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your counsel in connection with your filing of a Registration Statement on Form S-8 (the “Registration Statement”) pursuant to the Securities Act of 1933, as amended (the “Securities Act”), on or about the date hereof relating to an aggregate of 3,054,750 shares (the “Shares”) of Common Stock, $0.001 par value per share (“Common Stock”), of TELA Bio, Inc, a Delaware corporation (the “Company”), that may be issued pursuant to stock option grant agreements or restricted stock unit grant agreements providing for employee inducement grants between the Company and various employees, which were entered into in connection with the commencement of such employees’ employment with the Company pursuant to Nasdaq Listing Rule 5635(c)(4) (the “Inducement Award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below is limited to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we are of the opinion that the Shares have been duly authorized and, when delivered against payment therefor in accordance with the terms of the Inducement Award Agreements,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opinion letter and the opinion it contains shall be interpreted in accordance with the Core Opinion Principles as published in 74 </w:t>
      </w:r>
      <w:r>
        <w:rPr>
          <w:rFonts w:ascii="Times New Roman;Times;Serif" w:hAnsi="Times New Roman;Times;Serif"/>
          <w:b w:val="false"/>
          <w:i/>
          <w:caps w:val="false"/>
          <w:smallCaps w:val="false"/>
          <w:sz w:val="20"/>
        </w:rPr>
        <w:t>Business Lawyer</w:t>
      </w:r>
      <w:r>
        <w:rPr>
          <w:rFonts w:ascii="Times New Roman;Times;Serif" w:hAnsi="Times New Roman;Times;Serif"/>
          <w:b w:val="false"/>
          <w:i w:val="false"/>
          <w:caps w:val="false"/>
          <w:smallCaps w:val="false"/>
          <w:sz w:val="20"/>
        </w:rPr>
        <w:t xml:space="preserve"> 815 (Summer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TELA Bio, Inc. </w:t>
        <w:br/>
        <w:t xml:space="preserve">August 4, 2026 </w:t>
        <w:br/>
        <w:t>Page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pStyle w:val="TextBody"/>
        <w:bidi w:val="0"/>
        <w:spacing w:before="0" w:after="0"/>
        <w:ind w:left="0" w:right="0" w:firstLine="72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75"/>
        <w:gridCol w:w="2270"/>
      </w:tblGrid>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 Goodwin Procter llp</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5" w:name="tm2622134d1_ex23-1.htm"/>
      <w:bookmarkStart w:id="6" w:name="kstm2622134d1_ex231"/>
      <w:bookmarkEnd w:id="5"/>
      <w:bookmarkEnd w:id="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95375"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3"/>
                    <a:stretch>
                      <a:fillRect/>
                    </a:stretch>
                  </pic:blipFill>
                  <pic:spPr bwMode="auto">
                    <a:xfrm>
                      <a:off x="0" y="0"/>
                      <a:ext cx="1095375" cy="5334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70" w:type="dxa"/>
        <w:jc w:val="left"/>
        <w:tblInd w:w="0" w:type="dxa"/>
        <w:tblLayout w:type="fixed"/>
        <w:tblCellMar>
          <w:top w:w="0" w:type="dxa"/>
          <w:left w:w="0" w:type="dxa"/>
          <w:bottom w:w="0" w:type="dxa"/>
          <w:right w:w="0" w:type="dxa"/>
        </w:tblCellMar>
      </w:tblPr>
      <w:tblGrid>
        <w:gridCol w:w="75"/>
        <w:gridCol w:w="2495"/>
      </w:tblGrid>
      <w:tr>
        <w:trPr/>
        <w:tc>
          <w:tcPr>
            <w:tcW w:w="7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KPMG LLP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4000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1735 Market Street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19103-7501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March 25, 2026, with respect to the consolidated financial statements of TELA Bio, Inc. and subsidiaries,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2330" w:type="dxa"/>
        <w:jc w:val="left"/>
        <w:tblInd w:w="0" w:type="dxa"/>
        <w:tblLayout w:type="fixed"/>
        <w:tblCellMar>
          <w:top w:w="0" w:type="dxa"/>
          <w:left w:w="0" w:type="dxa"/>
          <w:bottom w:w="0" w:type="dxa"/>
          <w:right w:w="0" w:type="dxa"/>
        </w:tblCellMar>
      </w:tblPr>
      <w:tblGrid>
        <w:gridCol w:w="2255"/>
        <w:gridCol w:w="75"/>
      </w:tblGrid>
      <w:tr>
        <w:trPr/>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 </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tm2622134d1_ex-filingfees.htm"/>
      <w:bookmarkStart w:id="8" w:name="kstm2622134d1_exfilingfees"/>
      <w:bookmarkStart w:id="9" w:name="tm2622134d1_ex-filingfees.htm"/>
      <w:bookmarkStart w:id="10" w:name="kstm2622134d1_exfilingfees"/>
      <w:bookmarkEnd w:id="9"/>
      <w:bookmarkEnd w:id="10"/>
      <w:r>
        <w:br w:type="page"/>
      </w:r>
    </w:p>
    <w:tbl>
      <w:tblPr>
        <w:tblW w:w="3560" w:type="dxa"/>
        <w:jc w:val="left"/>
        <w:tblInd w:w="0" w:type="dxa"/>
        <w:tblLayout w:type="fixed"/>
        <w:tblCellMar>
          <w:top w:w="28" w:type="dxa"/>
          <w:left w:w="28" w:type="dxa"/>
          <w:bottom w:w="28" w:type="dxa"/>
          <w:right w:w="28" w:type="dxa"/>
        </w:tblCellMar>
      </w:tblPr>
      <w:tblGrid>
        <w:gridCol w:w="3406"/>
        <w:gridCol w:w="154"/>
      </w:tblGrid>
      <w:tr>
        <w:trPr/>
        <w:tc>
          <w:tcPr>
            <w:tcW w:w="35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b/>
              </w:rPr>
            </w:pPr>
            <w:r>
              <w:rPr>
                <w:b/>
              </w:rPr>
              <w:t xml:space="preserve">TELA Bio,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4"/>
        <w:gridCol w:w="1301"/>
        <w:gridCol w:w="1210"/>
        <w:gridCol w:w="1244"/>
        <w:gridCol w:w="1603"/>
        <w:gridCol w:w="1127"/>
        <w:gridCol w:w="1442"/>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4" w:type="dxa"/>
            <w:tcBorders/>
            <w:shd w:fill="E7E7E2" w:val="clear"/>
            <w:vAlign w:val="center"/>
          </w:tcPr>
          <w:p>
            <w:pPr>
              <w:pStyle w:val="TableContents"/>
              <w:bidi w:val="0"/>
              <w:spacing w:before="0" w:after="283"/>
              <w:jc w:val="left"/>
              <w:rPr/>
            </w:pPr>
            <w:r>
              <w:rPr/>
              <w:t xml:space="preserve">Common Stock, $0.001 par value per share </w:t>
            </w:r>
          </w:p>
        </w:tc>
        <w:tc>
          <w:tcPr>
            <w:tcW w:w="1301" w:type="dxa"/>
            <w:tcBorders/>
            <w:shd w:fill="E7E7E2" w:val="clear"/>
            <w:vAlign w:val="center"/>
          </w:tcPr>
          <w:p>
            <w:pPr>
              <w:pStyle w:val="TableContents"/>
              <w:bidi w:val="0"/>
              <w:spacing w:before="0" w:after="283"/>
              <w:jc w:val="center"/>
              <w:rPr/>
            </w:pPr>
            <w:r>
              <w:rPr/>
              <w:t xml:space="preserve">457(a) </w:t>
            </w:r>
          </w:p>
        </w:tc>
        <w:tc>
          <w:tcPr>
            <w:tcW w:w="1210" w:type="dxa"/>
            <w:tcBorders/>
            <w:shd w:fill="E7E7E2" w:val="clear"/>
            <w:vAlign w:val="center"/>
          </w:tcPr>
          <w:p>
            <w:pPr>
              <w:pStyle w:val="TableContents"/>
              <w:bidi w:val="0"/>
              <w:spacing w:before="0" w:after="283"/>
              <w:jc w:val="right"/>
              <w:rPr/>
            </w:pPr>
            <w:r>
              <w:rPr/>
              <w:t xml:space="preserve">1,365,000 </w:t>
            </w:r>
          </w:p>
        </w:tc>
        <w:tc>
          <w:tcPr>
            <w:tcW w:w="1244" w:type="dxa"/>
            <w:tcBorders/>
            <w:shd w:fill="E7E7E2" w:val="clear"/>
            <w:vAlign w:val="center"/>
          </w:tcPr>
          <w:p>
            <w:pPr>
              <w:pStyle w:val="TableContents"/>
              <w:bidi w:val="0"/>
              <w:spacing w:before="0" w:after="283"/>
              <w:jc w:val="right"/>
              <w:rPr/>
            </w:pPr>
            <w:r>
              <w:rPr/>
              <w:t xml:space="preserve">$ 0.74 </w:t>
            </w:r>
          </w:p>
        </w:tc>
        <w:tc>
          <w:tcPr>
            <w:tcW w:w="1603" w:type="dxa"/>
            <w:tcBorders/>
            <w:shd w:fill="E7E7E2" w:val="clear"/>
            <w:vAlign w:val="center"/>
          </w:tcPr>
          <w:p>
            <w:pPr>
              <w:pStyle w:val="TableContents"/>
              <w:bidi w:val="0"/>
              <w:spacing w:before="0" w:after="283"/>
              <w:jc w:val="right"/>
              <w:rPr/>
            </w:pPr>
            <w:r>
              <w:rPr/>
              <w:t xml:space="preserve">$ 1,010,100.00 </w:t>
            </w:r>
          </w:p>
        </w:tc>
        <w:tc>
          <w:tcPr>
            <w:tcW w:w="1127" w:type="dxa"/>
            <w:tcBorders/>
            <w:shd w:fill="E7E7E2" w:val="clear"/>
            <w:vAlign w:val="center"/>
          </w:tcPr>
          <w:p>
            <w:pPr>
              <w:pStyle w:val="TableContents"/>
              <w:bidi w:val="0"/>
              <w:spacing w:before="0" w:after="283"/>
              <w:jc w:val="right"/>
              <w:rPr/>
            </w:pPr>
            <w:r>
              <w:rPr/>
              <w:t xml:space="preserve">0.0001381 </w:t>
            </w:r>
          </w:p>
        </w:tc>
        <w:tc>
          <w:tcPr>
            <w:tcW w:w="1442" w:type="dxa"/>
            <w:tcBorders/>
            <w:shd w:fill="E7E7E2" w:val="clear"/>
            <w:vAlign w:val="center"/>
          </w:tcPr>
          <w:p>
            <w:pPr>
              <w:pStyle w:val="TableContents"/>
              <w:bidi w:val="0"/>
              <w:spacing w:before="0" w:after="283"/>
              <w:jc w:val="right"/>
              <w:rPr/>
            </w:pPr>
            <w:r>
              <w:rPr/>
              <w:t xml:space="preserve">$ 139.49 </w:t>
            </w:r>
          </w:p>
        </w:tc>
      </w:tr>
      <w:tr>
        <w:trPr/>
        <w:tc>
          <w:tcPr>
            <w:tcW w:w="242" w:type="dxa"/>
            <w:tcBorders/>
            <w:shd w:fill="E7E7E2" w:val="clear"/>
            <w:vAlign w:val="center"/>
          </w:tcPr>
          <w:p>
            <w:pPr>
              <w:pStyle w:val="TableContents"/>
              <w:bidi w:val="0"/>
              <w:spacing w:before="0" w:after="283"/>
              <w:jc w:val="center"/>
              <w:rPr/>
            </w:pPr>
            <w:r>
              <w:rPr/>
              <w:t xml:space="preserve">2 </w:t>
            </w:r>
          </w:p>
        </w:tc>
        <w:tc>
          <w:tcPr>
            <w:tcW w:w="962" w:type="dxa"/>
            <w:tcBorders/>
            <w:shd w:fill="E7E7E2" w:val="clear"/>
            <w:vAlign w:val="center"/>
          </w:tcPr>
          <w:p>
            <w:pPr>
              <w:pStyle w:val="TableContents"/>
              <w:bidi w:val="0"/>
              <w:spacing w:before="0" w:after="283"/>
              <w:jc w:val="left"/>
              <w:rPr/>
            </w:pPr>
            <w:r>
              <w:rPr/>
              <w:t xml:space="preserve">Equity </w:t>
            </w:r>
          </w:p>
        </w:tc>
        <w:tc>
          <w:tcPr>
            <w:tcW w:w="1074" w:type="dxa"/>
            <w:tcBorders/>
            <w:shd w:fill="E7E7E2" w:val="clear"/>
            <w:vAlign w:val="center"/>
          </w:tcPr>
          <w:p>
            <w:pPr>
              <w:pStyle w:val="TableContents"/>
              <w:bidi w:val="0"/>
              <w:spacing w:before="0" w:after="283"/>
              <w:jc w:val="left"/>
              <w:rPr/>
            </w:pPr>
            <w:r>
              <w:rPr/>
              <w:t xml:space="preserve">Common Stock, $0.001 par value per share </w:t>
            </w:r>
          </w:p>
        </w:tc>
        <w:tc>
          <w:tcPr>
            <w:tcW w:w="1301" w:type="dxa"/>
            <w:tcBorders/>
            <w:shd w:fill="E7E7E2" w:val="clear"/>
            <w:vAlign w:val="center"/>
          </w:tcPr>
          <w:p>
            <w:pPr>
              <w:pStyle w:val="TableContents"/>
              <w:bidi w:val="0"/>
              <w:spacing w:before="0" w:after="283"/>
              <w:jc w:val="center"/>
              <w:rPr/>
            </w:pPr>
            <w:r>
              <w:rPr/>
              <w:t xml:space="preserve">457(a) </w:t>
            </w:r>
          </w:p>
        </w:tc>
        <w:tc>
          <w:tcPr>
            <w:tcW w:w="1210" w:type="dxa"/>
            <w:tcBorders/>
            <w:shd w:fill="E7E7E2" w:val="clear"/>
            <w:vAlign w:val="center"/>
          </w:tcPr>
          <w:p>
            <w:pPr>
              <w:pStyle w:val="TableContents"/>
              <w:bidi w:val="0"/>
              <w:spacing w:before="0" w:after="283"/>
              <w:jc w:val="right"/>
              <w:rPr/>
            </w:pPr>
            <w:r>
              <w:rPr/>
              <w:t xml:space="preserve">1,005,000 </w:t>
            </w:r>
          </w:p>
        </w:tc>
        <w:tc>
          <w:tcPr>
            <w:tcW w:w="1244" w:type="dxa"/>
            <w:tcBorders/>
            <w:shd w:fill="E7E7E2" w:val="clear"/>
            <w:vAlign w:val="center"/>
          </w:tcPr>
          <w:p>
            <w:pPr>
              <w:pStyle w:val="TableContents"/>
              <w:bidi w:val="0"/>
              <w:spacing w:before="0" w:after="283"/>
              <w:jc w:val="right"/>
              <w:rPr/>
            </w:pPr>
            <w:r>
              <w:rPr/>
              <w:t xml:space="preserve">$ 0.90 </w:t>
            </w:r>
          </w:p>
        </w:tc>
        <w:tc>
          <w:tcPr>
            <w:tcW w:w="1603" w:type="dxa"/>
            <w:tcBorders/>
            <w:shd w:fill="E7E7E2" w:val="clear"/>
            <w:vAlign w:val="center"/>
          </w:tcPr>
          <w:p>
            <w:pPr>
              <w:pStyle w:val="TableContents"/>
              <w:bidi w:val="0"/>
              <w:spacing w:before="0" w:after="283"/>
              <w:jc w:val="right"/>
              <w:rPr/>
            </w:pPr>
            <w:r>
              <w:rPr/>
              <w:t xml:space="preserve">$ 904,500.00 </w:t>
            </w:r>
          </w:p>
        </w:tc>
        <w:tc>
          <w:tcPr>
            <w:tcW w:w="1127" w:type="dxa"/>
            <w:tcBorders/>
            <w:shd w:fill="E7E7E2" w:val="clear"/>
            <w:vAlign w:val="center"/>
          </w:tcPr>
          <w:p>
            <w:pPr>
              <w:pStyle w:val="TableContents"/>
              <w:bidi w:val="0"/>
              <w:spacing w:before="0" w:after="283"/>
              <w:jc w:val="right"/>
              <w:rPr/>
            </w:pPr>
            <w:r>
              <w:rPr/>
              <w:t xml:space="preserve">0.0001381 </w:t>
            </w:r>
          </w:p>
        </w:tc>
        <w:tc>
          <w:tcPr>
            <w:tcW w:w="1442" w:type="dxa"/>
            <w:tcBorders/>
            <w:shd w:fill="E7E7E2" w:val="clear"/>
            <w:vAlign w:val="center"/>
          </w:tcPr>
          <w:p>
            <w:pPr>
              <w:pStyle w:val="TableContents"/>
              <w:bidi w:val="0"/>
              <w:spacing w:before="0" w:after="283"/>
              <w:jc w:val="right"/>
              <w:rPr/>
            </w:pPr>
            <w:r>
              <w:rPr/>
              <w:t xml:space="preserve">$ 124.91 </w:t>
            </w:r>
          </w:p>
        </w:tc>
      </w:tr>
      <w:tr>
        <w:trPr/>
        <w:tc>
          <w:tcPr>
            <w:tcW w:w="242" w:type="dxa"/>
            <w:tcBorders/>
            <w:shd w:fill="E7E7E2" w:val="clear"/>
            <w:vAlign w:val="center"/>
          </w:tcPr>
          <w:p>
            <w:pPr>
              <w:pStyle w:val="TableContents"/>
              <w:bidi w:val="0"/>
              <w:spacing w:before="0" w:after="283"/>
              <w:jc w:val="center"/>
              <w:rPr/>
            </w:pPr>
            <w:r>
              <w:rPr/>
              <w:t xml:space="preserve">3 </w:t>
            </w:r>
          </w:p>
        </w:tc>
        <w:tc>
          <w:tcPr>
            <w:tcW w:w="962" w:type="dxa"/>
            <w:tcBorders/>
            <w:shd w:fill="E7E7E2" w:val="clear"/>
            <w:vAlign w:val="center"/>
          </w:tcPr>
          <w:p>
            <w:pPr>
              <w:pStyle w:val="TableContents"/>
              <w:bidi w:val="0"/>
              <w:spacing w:before="0" w:after="283"/>
              <w:jc w:val="left"/>
              <w:rPr/>
            </w:pPr>
            <w:r>
              <w:rPr/>
              <w:t xml:space="preserve">Equity </w:t>
            </w:r>
          </w:p>
        </w:tc>
        <w:tc>
          <w:tcPr>
            <w:tcW w:w="1074" w:type="dxa"/>
            <w:tcBorders/>
            <w:shd w:fill="E7E7E2" w:val="clear"/>
            <w:vAlign w:val="center"/>
          </w:tcPr>
          <w:p>
            <w:pPr>
              <w:pStyle w:val="TableContents"/>
              <w:bidi w:val="0"/>
              <w:spacing w:before="0" w:after="283"/>
              <w:jc w:val="left"/>
              <w:rPr/>
            </w:pPr>
            <w:r>
              <w:rPr/>
              <w:t xml:space="preserve">Common Stock, $0.001 par value per share </w:t>
            </w:r>
          </w:p>
        </w:tc>
        <w:tc>
          <w:tcPr>
            <w:tcW w:w="1301" w:type="dxa"/>
            <w:tcBorders/>
            <w:shd w:fill="E7E7E2" w:val="clear"/>
            <w:vAlign w:val="center"/>
          </w:tcPr>
          <w:p>
            <w:pPr>
              <w:pStyle w:val="TableContents"/>
              <w:bidi w:val="0"/>
              <w:spacing w:before="0" w:after="283"/>
              <w:jc w:val="center"/>
              <w:rPr/>
            </w:pPr>
            <w:r>
              <w:rPr/>
              <w:t xml:space="preserve">457(a) </w:t>
            </w:r>
          </w:p>
        </w:tc>
        <w:tc>
          <w:tcPr>
            <w:tcW w:w="1210" w:type="dxa"/>
            <w:tcBorders/>
            <w:shd w:fill="E7E7E2" w:val="clear"/>
            <w:vAlign w:val="center"/>
          </w:tcPr>
          <w:p>
            <w:pPr>
              <w:pStyle w:val="TableContents"/>
              <w:bidi w:val="0"/>
              <w:spacing w:before="0" w:after="283"/>
              <w:jc w:val="right"/>
              <w:rPr/>
            </w:pPr>
            <w:r>
              <w:rPr/>
              <w:t xml:space="preserve">684,750 </w:t>
            </w:r>
          </w:p>
        </w:tc>
        <w:tc>
          <w:tcPr>
            <w:tcW w:w="1244" w:type="dxa"/>
            <w:tcBorders/>
            <w:shd w:fill="E7E7E2" w:val="clear"/>
            <w:vAlign w:val="center"/>
          </w:tcPr>
          <w:p>
            <w:pPr>
              <w:pStyle w:val="TableContents"/>
              <w:bidi w:val="0"/>
              <w:spacing w:before="0" w:after="283"/>
              <w:jc w:val="right"/>
              <w:rPr/>
            </w:pPr>
            <w:r>
              <w:rPr/>
              <w:t xml:space="preserve">$ 0.69 </w:t>
            </w:r>
          </w:p>
        </w:tc>
        <w:tc>
          <w:tcPr>
            <w:tcW w:w="1603" w:type="dxa"/>
            <w:tcBorders/>
            <w:shd w:fill="E7E7E2" w:val="clear"/>
            <w:vAlign w:val="center"/>
          </w:tcPr>
          <w:p>
            <w:pPr>
              <w:pStyle w:val="TableContents"/>
              <w:bidi w:val="0"/>
              <w:spacing w:before="0" w:after="283"/>
              <w:jc w:val="right"/>
              <w:rPr/>
            </w:pPr>
            <w:r>
              <w:rPr/>
              <w:t xml:space="preserve">$ 472,477.50 </w:t>
            </w:r>
          </w:p>
        </w:tc>
        <w:tc>
          <w:tcPr>
            <w:tcW w:w="1127" w:type="dxa"/>
            <w:tcBorders/>
            <w:shd w:fill="E7E7E2" w:val="clear"/>
            <w:vAlign w:val="center"/>
          </w:tcPr>
          <w:p>
            <w:pPr>
              <w:pStyle w:val="TableContents"/>
              <w:bidi w:val="0"/>
              <w:spacing w:before="0" w:after="283"/>
              <w:jc w:val="right"/>
              <w:rPr/>
            </w:pPr>
            <w:r>
              <w:rPr/>
              <w:t xml:space="preserve">0.0001381 </w:t>
            </w:r>
          </w:p>
        </w:tc>
        <w:tc>
          <w:tcPr>
            <w:tcW w:w="1442" w:type="dxa"/>
            <w:tcBorders/>
            <w:shd w:fill="E7E7E2" w:val="clear"/>
            <w:vAlign w:val="center"/>
          </w:tcPr>
          <w:p>
            <w:pPr>
              <w:pStyle w:val="TableContents"/>
              <w:bidi w:val="0"/>
              <w:spacing w:before="0" w:after="283"/>
              <w:jc w:val="right"/>
              <w:rPr/>
            </w:pPr>
            <w:r>
              <w:rPr/>
              <w:t xml:space="preserve">$ 65.25 </w:t>
            </w:r>
          </w:p>
        </w:tc>
      </w:tr>
      <w:tr>
        <w:trPr/>
        <w:tc>
          <w:tcPr>
            <w:tcW w:w="4789"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1" w:name="MaxAggtOfferingPrice"/>
            <w:bookmarkEnd w:id="11"/>
            <w:r>
              <w:rPr/>
              <w:t xml:space="preserve">$ 2,387,077.50 </w:t>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$ 329.65 </w:t>
            </w:r>
          </w:p>
        </w:tc>
      </w:tr>
      <w:tr>
        <w:trPr/>
        <w:tc>
          <w:tcPr>
            <w:tcW w:w="4789"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89"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4" w:name="NetFeeAmt"/>
            <w:bookmarkEnd w:id="14"/>
            <w:r>
              <w:rPr/>
              <w:t xml:space="preserve">$ 329.65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(1a) Pursuant to Rule 416(a) promulgated under the Securities Act of 1933, as amended (the "Securities Act"), this Registration Statement on Form S-8 also covers an indeterminate number of additional shares of common stock, par value per share $0.001 (the "Common Stock"), of TELA Bio, Inc. (the "Registrant") issuable by reason of any stock dividend, stock split, recapitalization or other similar transaction effected without the receipt of consideration which results in an increase in the number of the outstanding shares of Common Stock of the Registrant. (1b) Represents shares of Common Stock that are issuable upon the exercise of stock option awards granted on August 3, 2026 to one newly-hired employee of the Registrant as an inducement material to their acceptance of employment with the Registrant (the "Inducement Option Awards"). (1c) Estimated pursuant to Rule 457(h) of the Securities Act solely for the purpose of calculating the registration fee. The proposed maximum offering price per share and proposed maximum offering price are calculated on the basis of the weighted average exercise prices of the Inducement Option Awards.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(2a) Pursuant to Rule 416(a) promulgated under the Securities Act of 1933, as amended (the "Securities Act"), this Registration Statement on Form S-8 also covers an indeterminate number of additional shares of common stock, par value per share $0.001 (the "Common Stock"), of TELA Bio, Inc. (the "Registrant") issuable by reason of any stock dividend, stock split, recapitalization or other similar transaction effected without the receipt of consideration which results in an increase in the number of the outstanding shares of Common Stock of the Registrant. (2b) Represents shares of Common Stock that are issuable upon the exercise of stock option awards granted on August 3, 2026 to one newly-hired employee of the Registrant as an inducement material to their acceptance of employment with the Registrant (the "Inducement Option Awards"). (2c) Estimated pursuant to Rule 457(h) of the Securities Act solely for the purpose of calculating the registration fee. The proposed maximum offering price per share and proposed maximum offering price are calculated on the basis of the weighted average exercise prices of the Inducement Option Awards.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5" w:type="dxa"/>
            <w:gridSpan w:val="2"/>
            <w:tcBorders/>
            <w:vAlign w:val="center"/>
          </w:tcPr>
          <w:p>
            <w:pPr>
              <w:pStyle w:val="TableContents"/>
              <w:bidi w:val="0"/>
              <w:spacing w:before="0" w:after="283"/>
              <w:jc w:val="left"/>
              <w:rPr/>
            </w:pPr>
            <w:r>
              <w:rPr/>
              <w:t xml:space="preserve">(3a) Pursuant to Rule 416(a) promulgated under the Securities Act of 1933, as amended (the "Securities Act"), this Registration Statement on Form S-8 also covers an indeterminate number of additional shares of common stock, par value per share $0.001 (the "Common Stock"), of TELA Bio, Inc. (the "Registrant") issuable by reason of any stock dividend, stock split, recapitalization or other similar transaction effected without the receipt of consideration which results in an increase in the number of the outstanding shares of Common Stock of the Registrant. (3b) Represents shares of Common Stock that are issuable upon the settlement of restricted stock unit awards granted between May 5, 2026 and August 4, 2026 to certain newly-hired employees of the Registrant as an inducement material to their acceptance of employment with the Registrant. (3c) Estimated pursuant to Rule 457(c) and Rule 457(h) of the Securities Act solely for the purpose of calculating the registration fee. The proposed maximum offering price per share and proposed maximum offering price are based upon the average of the high and low prices of the Common Stock as reported on The Nasdaq Global Market on July 28,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61921/000110465926034507/tela-20251231x10k.htm" TargetMode="External"/><Relationship Id="rId3" Type="http://schemas.openxmlformats.org/officeDocument/2006/relationships/hyperlink" Target="https://www.sec.gov/ix?doc=/Archives/edgar/data/1561921/000110465926060234/tela-20260331x10q.htm" TargetMode="External"/><Relationship Id="rId4" Type="http://schemas.openxmlformats.org/officeDocument/2006/relationships/hyperlink" Target="https://www.sec.gov/ix?doc=/Archives/edgar/data/1561921/000110465926053117/tm261452-1_def14a.htm" TargetMode="External"/><Relationship Id="rId5" Type="http://schemas.openxmlformats.org/officeDocument/2006/relationships/hyperlink" Target="https://www.sec.gov/ix?doc=/Archives/edgar/data/1561921/000110465926032697/tm269374d1_8k.htm" TargetMode="External"/><Relationship Id="rId6" Type="http://schemas.openxmlformats.org/officeDocument/2006/relationships/hyperlink" Target="https://www.sec.gov/ix?doc=/Archives/edgar/data/1561921/000110465926053102/tm2612982d1_8k.htm" TargetMode="External"/><Relationship Id="rId7" Type="http://schemas.openxmlformats.org/officeDocument/2006/relationships/hyperlink" Target="https://www.sec.gov/ix?doc=/Archives/edgar/data/1561921/000110465926072931/tm2617369d1_8k.htm" TargetMode="External"/><Relationship Id="rId8" Type="http://schemas.openxmlformats.org/officeDocument/2006/relationships/hyperlink" Target="https://www.sec.gov/ix?doc=/Archives/edgar/data/1561921/000110465926090056/tm2622121d1_8k.htm" TargetMode="External"/><Relationship Id="rId9" Type="http://schemas.openxmlformats.org/officeDocument/2006/relationships/hyperlink" Target="https://www.sec.gov/Archives/edgar/data/1561921/000110465919060945/a19-16745_118a12b.htm" TargetMode="External"/><Relationship Id="rId10" Type="http://schemas.openxmlformats.org/officeDocument/2006/relationships/hyperlink" Target="https://www.sec.gov/Archives/edgar/data/1561921/000110465919065432/a19-23314_1ex3d1.htm" TargetMode="External"/><Relationship Id="rId11" Type="http://schemas.openxmlformats.org/officeDocument/2006/relationships/hyperlink" Target="https://www.sec.gov/Archives/edgar/data/1561921/000110465919065432/a19-23314_1ex3d1.htm" TargetMode="External"/><Relationship Id="rId12" Type="http://schemas.openxmlformats.org/officeDocument/2006/relationships/hyperlink" Target="https://www.sec.gov/Archives/edgar/data/1561921/000155837025011052/tela-20250630xex3d1.htm" TargetMode="External"/><Relationship Id="rId13" Type="http://schemas.openxmlformats.org/officeDocument/2006/relationships/hyperlink" Target="https://www.sec.gov/Archives/edgar/data/1561921/000155837025011052/tela-20250630xex3d1.htm" TargetMode="External"/><Relationship Id="rId14" Type="http://schemas.openxmlformats.org/officeDocument/2006/relationships/hyperlink" Target="https://www.sec.gov/Archives/edgar/data/1561921/000155837023018822/tela-20230930xex3d1.htm" TargetMode="External"/><Relationship Id="rId15" Type="http://schemas.openxmlformats.org/officeDocument/2006/relationships/hyperlink" Target="https://www.sec.gov/Archives/edgar/data/1561921/000155837023018822/tela-20230930xex3d1.htm" TargetMode="External"/><Relationship Id="rId16" Type="http://schemas.openxmlformats.org/officeDocument/2006/relationships/hyperlink" Target="https://www.sec.gov/Archives/edgar/data/1561921/000104746919005938/a2239923zex-4_1.htm" TargetMode="External"/><Relationship Id="rId17" Type="http://schemas.openxmlformats.org/officeDocument/2006/relationships/hyperlink" Target="https://www.sec.gov/Archives/edgar/data/1561921/000104746919005938/a2239923zex-4_1.htm" TargetMode="External"/><Relationship Id="rId18" Type="http://schemas.openxmlformats.org/officeDocument/2006/relationships/hyperlink" Target="https://www.sec.gov/Archives/edgar/data/1561921/000155837023004468/tela-20221231xex10d16.htm" TargetMode="External"/><Relationship Id="rId19" Type="http://schemas.openxmlformats.org/officeDocument/2006/relationships/hyperlink" Target="https://www.sec.gov/Archives/edgar/data/1561921/000155837023004468/tela-20221231xex10d16.htm" TargetMode="External"/><Relationship Id="rId20" Type="http://schemas.openxmlformats.org/officeDocument/2006/relationships/hyperlink" Target="https://www.sec.gov/Archives/edgar/data/1561921/000155837023004468/tela-20221231xex10d17.htm" TargetMode="External"/><Relationship Id="rId21" Type="http://schemas.openxmlformats.org/officeDocument/2006/relationships/hyperlink" Target="https://www.sec.gov/Archives/edgar/data/1561921/000155837023004468/tela-20221231xex10d17.htm" TargetMode="External"/><Relationship Id="rId22" Type="http://schemas.openxmlformats.org/officeDocument/2006/relationships/image" Target="media/image1.jpeg"/><Relationship Id="rId23" Type="http://schemas.openxmlformats.org/officeDocument/2006/relationships/image" Target="media/image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4337</Words>
  <Characters>23260</Characters>
  <CharactersWithSpaces>27680</CharactersWithSpaces>
  <Paragraphs>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