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92026_040807.xml.htm"/>
      <w:bookmarkStart w:id="1" w:name="ksform408192026_0408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Getz Heather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TELA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GREAT VALLEY PARKWAY, SUITE 24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TELA Bio, Inc.</w:t>
              </w:r>
            </w:hyperlink>
            <w:r>
              <w:rPr/>
              <w:t xml:space="preserve"> [ </w:t>
            </w:r>
            <w:r>
              <w:rPr>
                <w:rFonts w:ascii="Times;serif" w:hAnsi="Times;serif"/>
                <w:color w:val="0000FF"/>
                <w:sz w:val="24"/>
                <w:shd w:fill="FFFFFF" w:val="clear"/>
              </w:rPr>
              <w:t>TELA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0.6649</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532,500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$0.6504 to $0.6749. The Reporting Person undertakes to provide to the Issuer, any security holder of the Issuer, or the staff of the Securities and Exchange Commission, 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Megan Smeykal,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1485" TargetMode="External"/><Relationship Id="rId5" Type="http://schemas.openxmlformats.org/officeDocument/2006/relationships/hyperlink" Target="http://www.sec.gov/cgi-bin/browse-edgar?action=getcompany&amp;CIK=0001561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3463</Characters>
  <CharactersWithSpaces>4036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