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ind w:right="140"/>
        <w:spacing w:after="0"/>
        <w:rPr>
          <w:sz w:val="20"/>
          <w:szCs w:val="20"/>
          <w:color w:val="auto"/>
        </w:rPr>
      </w:pPr>
      <w:r>
        <w:rPr>
          <w:rFonts w:ascii="Arial" w:cs="Arial" w:eastAsia="Arial" w:hAnsi="Arial"/>
          <w:sz w:val="29"/>
          <w:szCs w:val="29"/>
          <w:b w:val="1"/>
          <w:bCs w:val="1"/>
          <w:color w:val="auto"/>
        </w:rPr>
        <w:t>SCHEDULE 13D</w:t>
      </w:r>
    </w:p>
    <w:p>
      <w:pPr>
        <w:spacing w:after="0" w:line="200" w:lineRule="exact"/>
        <w:rPr>
          <w:sz w:val="24"/>
          <w:szCs w:val="24"/>
          <w:color w:val="auto"/>
        </w:rPr>
      </w:pPr>
    </w:p>
    <w:p>
      <w:pPr>
        <w:spacing w:after="0" w:line="304"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TELA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872381108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Advisors LLC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Capital GP IV LLC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 54th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93"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6" w:lineRule="exact"/>
        <w:rPr>
          <w:sz w:val="24"/>
          <w:szCs w:val="24"/>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193" w:lineRule="exact"/>
        <w:rPr>
          <w:sz w:val="24"/>
          <w:szCs w:val="24"/>
          <w:color w:val="auto"/>
        </w:rPr>
      </w:pPr>
    </w:p>
    <w:p>
      <w:pPr>
        <w:ind w:left="260" w:hanging="252"/>
        <w:spacing w:after="0" w:line="27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60"/>
        <w:spacing w:after="0" w:line="27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1053" w:right="25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219519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5195" cy="308610"/>
                    </a:xfrm>
                    <a:prstGeom prst="rect">
                      <a:avLst/>
                    </a:prstGeom>
                    <a:noFill/>
                  </pic:spPr>
                </pic:pic>
              </a:graphicData>
            </a:graphic>
          </wp:anchor>
        </w:drawing>
        <w:t>CUSIP No. 872381108</w:t>
      </w: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20" w:type="dxa"/>
            <w:vAlign w:val="bottom"/>
            <w:tcBorders>
              <w:top w:val="single" w:sz="8" w:color="auto"/>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5"/>
              </w:rPr>
              <w:t>1</w:t>
            </w:r>
          </w:p>
        </w:tc>
        <w:tc>
          <w:tcPr>
            <w:tcW w:w="200" w:type="dxa"/>
            <w:vAlign w:val="bottom"/>
            <w:tcBorders>
              <w:top w:val="single" w:sz="8" w:color="auto"/>
              <w:right w:val="single" w:sz="8" w:color="auto"/>
            </w:tcBorders>
          </w:tcPr>
          <w:p>
            <w:pPr>
              <w:spacing w:after="0"/>
              <w:rPr>
                <w:sz w:val="23"/>
                <w:szCs w:val="23"/>
                <w:color w:val="auto"/>
              </w:rPr>
            </w:pPr>
          </w:p>
        </w:tc>
        <w:tc>
          <w:tcPr>
            <w:tcW w:w="83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Names of Reporting Persons.</w:t>
            </w:r>
          </w:p>
        </w:tc>
        <w:tc>
          <w:tcPr>
            <w:tcW w:w="23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060" w:type="dxa"/>
            <w:vAlign w:val="bottom"/>
            <w:gridSpan w:val="2"/>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60" w:type="dxa"/>
            <w:vAlign w:val="bottom"/>
            <w:gridSpan w:val="2"/>
            <w:vMerge w:val="continue"/>
          </w:tcPr>
          <w:p>
            <w:pPr>
              <w:spacing w:after="0"/>
              <w:rPr>
                <w:sz w:val="5"/>
                <w:szCs w:val="5"/>
                <w:color w:val="auto"/>
              </w:rPr>
            </w:pPr>
          </w:p>
        </w:tc>
        <w:tc>
          <w:tcPr>
            <w:tcW w:w="6300" w:type="dxa"/>
            <w:vAlign w:val="bottom"/>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8360" w:type="dxa"/>
            <w:vAlign w:val="bottom"/>
            <w:tcBorders>
              <w:bottom w:val="single" w:sz="8" w:color="auto"/>
            </w:tcBorders>
            <w:gridSpan w:val="3"/>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5"/>
              </w:rPr>
              <w:t>2</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(a) o</w:t>
            </w:r>
          </w:p>
        </w:tc>
        <w:tc>
          <w:tcPr>
            <w:tcW w:w="6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(b) o</w:t>
            </w:r>
          </w:p>
        </w:tc>
        <w:tc>
          <w:tcPr>
            <w:tcW w:w="6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 w:type="dxa"/>
            <w:vAlign w:val="bottom"/>
            <w:tcBorders>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5"/>
              </w:rPr>
              <w:t>3</w:t>
            </w:r>
          </w:p>
        </w:tc>
        <w:tc>
          <w:tcPr>
            <w:tcW w:w="200" w:type="dxa"/>
            <w:vAlign w:val="bottom"/>
            <w:tcBorders>
              <w:right w:val="single" w:sz="8" w:color="auto"/>
            </w:tcBorders>
          </w:tcPr>
          <w:p>
            <w:pPr>
              <w:spacing w:after="0"/>
              <w:rPr>
                <w:sz w:val="22"/>
                <w:szCs w:val="22"/>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20" w:type="dxa"/>
            <w:vAlign w:val="bottom"/>
            <w:tcBorders>
              <w:left w:val="single" w:sz="8" w:color="auto"/>
            </w:tcBorders>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2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8360" w:type="dxa"/>
            <w:vAlign w:val="bottom"/>
            <w:tcBorders>
              <w:bottom w:val="single" w:sz="8" w:color="auto"/>
            </w:tcBorders>
            <w:gridSpan w:val="3"/>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20" w:type="dxa"/>
            <w:vAlign w:val="bottom"/>
            <w:tcBorders>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5"/>
              </w:rPr>
              <w:t>4</w:t>
            </w:r>
          </w:p>
        </w:tc>
        <w:tc>
          <w:tcPr>
            <w:tcW w:w="200" w:type="dxa"/>
            <w:vAlign w:val="bottom"/>
            <w:tcBorders>
              <w:right w:val="single" w:sz="8" w:color="auto"/>
            </w:tcBorders>
          </w:tcPr>
          <w:p>
            <w:pPr>
              <w:spacing w:after="0"/>
              <w:rPr>
                <w:sz w:val="22"/>
                <w:szCs w:val="22"/>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Source of Funds (See Instructions)</w:t>
            </w:r>
          </w:p>
        </w:tc>
        <w:tc>
          <w:tcPr>
            <w:tcW w:w="2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20" w:type="dxa"/>
            <w:vAlign w:val="bottom"/>
            <w:tcBorders>
              <w:left w:val="single" w:sz="8" w:color="auto"/>
            </w:tcBorders>
            <w:vMerge w:val="continue"/>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AF</w:t>
            </w:r>
          </w:p>
        </w:tc>
        <w:tc>
          <w:tcPr>
            <w:tcW w:w="68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2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520" w:type="dxa"/>
            <w:vAlign w:val="bottom"/>
            <w:tcBorders>
              <w:lef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8360" w:type="dxa"/>
            <w:vAlign w:val="bottom"/>
            <w:tcBorders>
              <w:bottom w:val="single" w:sz="8" w:color="auto"/>
            </w:tcBorders>
            <w:gridSpan w:val="3"/>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 w:type="dxa"/>
            <w:vAlign w:val="bottom"/>
            <w:tcBorders>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5"/>
              </w:rPr>
              <w:t>5</w:t>
            </w:r>
          </w:p>
        </w:tc>
        <w:tc>
          <w:tcPr>
            <w:tcW w:w="200" w:type="dxa"/>
            <w:vAlign w:val="bottom"/>
            <w:tcBorders>
              <w:right w:val="single" w:sz="8" w:color="auto"/>
            </w:tcBorders>
          </w:tcPr>
          <w:p>
            <w:pPr>
              <w:spacing w:after="0"/>
              <w:rPr>
                <w:sz w:val="22"/>
                <w:szCs w:val="22"/>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34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520" w:type="dxa"/>
            <w:vAlign w:val="bottom"/>
            <w:tcBorders>
              <w:left w:val="single" w:sz="8" w:color="auto"/>
            </w:tcBorders>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2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8360" w:type="dxa"/>
            <w:vAlign w:val="bottom"/>
            <w:tcBorders>
              <w:bottom w:val="single" w:sz="8" w:color="auto"/>
            </w:tcBorders>
            <w:gridSpan w:val="3"/>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5"/>
              </w:rPr>
              <w:t>6</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3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tcPr>
          <w:p>
            <w:pPr>
              <w:spacing w:after="0"/>
              <w:rPr>
                <w:sz w:val="21"/>
                <w:szCs w:val="21"/>
                <w:color w:val="auto"/>
              </w:rPr>
            </w:pPr>
          </w:p>
        </w:tc>
        <w:tc>
          <w:tcPr>
            <w:tcW w:w="158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7</w:t>
            </w:r>
          </w:p>
        </w:tc>
        <w:tc>
          <w:tcPr>
            <w:tcW w:w="63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300" w:type="dxa"/>
            <w:vAlign w:val="bottom"/>
          </w:tcPr>
          <w:p>
            <w:pPr>
              <w:ind w:left="40"/>
              <w:spacing w:after="0" w:line="176" w:lineRule="exact"/>
              <w:rPr>
                <w:sz w:val="20"/>
                <w:szCs w:val="20"/>
                <w:color w:val="auto"/>
              </w:rPr>
            </w:pPr>
            <w:r>
              <w:rPr>
                <w:rFonts w:ascii="Arial" w:cs="Arial" w:eastAsia="Arial" w:hAnsi="Arial"/>
                <w:sz w:val="18"/>
                <w:szCs w:val="18"/>
                <w:color w:val="auto"/>
              </w:rPr>
              <w:t>0</w:t>
            </w:r>
          </w:p>
        </w:tc>
        <w:tc>
          <w:tcPr>
            <w:tcW w:w="2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2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right w:val="single" w:sz="8" w:color="auto"/>
            </w:tcBorders>
            <w:vMerge w:val="restart"/>
          </w:tcPr>
          <w:p>
            <w:pPr>
              <w:jc w:val="center"/>
              <w:ind w:right="610"/>
              <w:spacing w:after="0" w:line="201" w:lineRule="exact"/>
              <w:rPr>
                <w:sz w:val="20"/>
                <w:szCs w:val="20"/>
                <w:color w:val="auto"/>
              </w:rPr>
            </w:pPr>
            <w:r>
              <w:rPr>
                <w:rFonts w:ascii="Arial" w:cs="Arial" w:eastAsia="Arial" w:hAnsi="Arial"/>
                <w:sz w:val="18"/>
                <w:szCs w:val="18"/>
                <w:color w:val="auto"/>
                <w:w w:val="91"/>
              </w:rPr>
              <w:t>SHARES</w:t>
            </w:r>
          </w:p>
        </w:tc>
        <w:tc>
          <w:tcPr>
            <w:tcW w:w="680" w:type="dxa"/>
            <w:vAlign w:val="bottom"/>
            <w:tcBorders>
              <w:bottom w:val="single" w:sz="8" w:color="auto"/>
              <w:right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5"/>
                <w:szCs w:val="25"/>
                <w:color w:val="auto"/>
                <w:w w:val="85"/>
              </w:rPr>
              <w:t>8</w:t>
            </w:r>
          </w:p>
        </w:tc>
        <w:tc>
          <w:tcPr>
            <w:tcW w:w="6300" w:type="dxa"/>
            <w:vAlign w:val="bottom"/>
            <w:vMerge w:val="continue"/>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0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3,058,267 (1)</w:t>
            </w:r>
          </w:p>
        </w:tc>
        <w:tc>
          <w:tcPr>
            <w:tcW w:w="2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0" w:type="dxa"/>
            <w:vAlign w:val="bottom"/>
            <w:tcBorders>
              <w:left w:val="single" w:sz="8" w:color="auto"/>
            </w:tcBorders>
          </w:tcPr>
          <w:p>
            <w:pPr>
              <w:spacing w:after="0"/>
              <w:rPr>
                <w:sz w:val="19"/>
                <w:szCs w:val="19"/>
                <w:color w:val="auto"/>
              </w:rPr>
            </w:pPr>
          </w:p>
        </w:tc>
        <w:tc>
          <w:tcPr>
            <w:tcW w:w="15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30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right w:val="single" w:sz="8" w:color="auto"/>
            </w:tcBorders>
          </w:tcPr>
          <w:p>
            <w:pPr>
              <w:jc w:val="center"/>
              <w:ind w:right="630"/>
              <w:spacing w:after="0" w:line="202" w:lineRule="exact"/>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63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vMerge w:val="continue"/>
          </w:tcPr>
          <w:p>
            <w:pPr>
              <w:spacing w:after="0"/>
              <w:rPr>
                <w:sz w:val="18"/>
                <w:szCs w:val="18"/>
                <w:color w:val="auto"/>
              </w:rPr>
            </w:pPr>
          </w:p>
        </w:tc>
        <w:tc>
          <w:tcPr>
            <w:tcW w:w="6300" w:type="dxa"/>
            <w:vAlign w:val="bottom"/>
          </w:tcPr>
          <w:p>
            <w:pPr>
              <w:ind w:left="40"/>
              <w:spacing w:after="0"/>
              <w:rPr>
                <w:sz w:val="20"/>
                <w:szCs w:val="20"/>
                <w:color w:val="auto"/>
              </w:rPr>
            </w:pPr>
            <w:r>
              <w:rPr>
                <w:rFonts w:ascii="Arial" w:cs="Arial" w:eastAsia="Arial" w:hAnsi="Arial"/>
                <w:sz w:val="18"/>
                <w:szCs w:val="18"/>
                <w:color w:val="auto"/>
              </w:rPr>
              <w:t>0</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2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right w:val="single" w:sz="8" w:color="auto"/>
            </w:tcBorders>
            <w:vMerge w:val="restart"/>
          </w:tcPr>
          <w:p>
            <w:pPr>
              <w:jc w:val="center"/>
              <w:ind w:right="610"/>
              <w:spacing w:after="0" w:line="201" w:lineRule="exact"/>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2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right w:val="single" w:sz="8" w:color="auto"/>
            </w:tcBorders>
            <w:vMerge w:val="restart"/>
          </w:tcPr>
          <w:p>
            <w:pPr>
              <w:jc w:val="center"/>
              <w:ind w:right="630"/>
              <w:spacing w:after="0"/>
              <w:rPr>
                <w:sz w:val="20"/>
                <w:szCs w:val="20"/>
                <w:color w:val="auto"/>
              </w:rPr>
            </w:pPr>
            <w:r>
              <w:rPr>
                <w:rFonts w:ascii="Arial" w:cs="Arial" w:eastAsia="Arial" w:hAnsi="Arial"/>
                <w:sz w:val="18"/>
                <w:szCs w:val="18"/>
                <w:color w:val="auto"/>
                <w:w w:val="99"/>
              </w:rPr>
              <w:t>WITH</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6300" w:type="dxa"/>
            <w:vAlign w:val="bottom"/>
            <w:vMerge w:val="continue"/>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3,058,267 (1)</w:t>
            </w: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300" w:type="dxa"/>
            <w:vAlign w:val="bottom"/>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6"/>
              </w:rPr>
              <w:t>11</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3,058,267 (1)</w:t>
            </w: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3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93"/>
              </w:rPr>
              <w:t>12</w:t>
            </w:r>
          </w:p>
        </w:tc>
        <w:tc>
          <w:tcPr>
            <w:tcW w:w="200" w:type="dxa"/>
            <w:vAlign w:val="bottom"/>
            <w:tcBorders>
              <w:right w:val="single" w:sz="8" w:color="auto"/>
            </w:tcBorders>
          </w:tcPr>
          <w:p>
            <w:pPr>
              <w:spacing w:after="0"/>
              <w:rPr>
                <w:sz w:val="22"/>
                <w:szCs w:val="22"/>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34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7"/>
        </w:trPr>
        <w:tc>
          <w:tcPr>
            <w:tcW w:w="520" w:type="dxa"/>
            <w:vAlign w:val="bottom"/>
            <w:tcBorders>
              <w:left w:val="single" w:sz="8" w:color="auto"/>
            </w:tcBorders>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2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93"/>
              </w:rPr>
              <w:t>13</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27.7% (2)</w:t>
            </w: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3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93"/>
              </w:rPr>
              <w:t>14</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3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right="120" w:hanging="328"/>
        <w:spacing w:after="0" w:line="25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(i) 3,027,542 shares of common stock, par value $0.001 per share (the “</w:t>
      </w:r>
      <w:r>
        <w:rPr>
          <w:rFonts w:ascii="Arial" w:cs="Arial" w:eastAsia="Arial" w:hAnsi="Arial"/>
          <w:sz w:val="14"/>
          <w:szCs w:val="14"/>
          <w:u w:val="single" w:color="auto"/>
          <w:color w:val="auto"/>
        </w:rPr>
        <w:t>Shares</w:t>
      </w:r>
      <w:r>
        <w:rPr>
          <w:rFonts w:ascii="Arial" w:cs="Arial" w:eastAsia="Arial" w:hAnsi="Arial"/>
          <w:sz w:val="14"/>
          <w:szCs w:val="14"/>
          <w:color w:val="auto"/>
        </w:rPr>
        <w:t>”), of TELA Bio, Inc. (the “</w:t>
      </w:r>
      <w:r>
        <w:rPr>
          <w:rFonts w:ascii="Arial" w:cs="Arial" w:eastAsia="Arial" w:hAnsi="Arial"/>
          <w:sz w:val="14"/>
          <w:szCs w:val="14"/>
          <w:u w:val="single" w:color="auto"/>
          <w:color w:val="auto"/>
        </w:rPr>
        <w:t>Issuer</w:t>
      </w:r>
      <w:r>
        <w:rPr>
          <w:rFonts w:ascii="Arial" w:cs="Arial" w:eastAsia="Arial" w:hAnsi="Arial"/>
          <w:sz w:val="14"/>
          <w:szCs w:val="14"/>
          <w:color w:val="auto"/>
        </w:rPr>
        <w:t>”) and (ii) 30,725 Shares issuable upon the exercise of warrants to purchase Shares (the “</w:t>
      </w:r>
      <w:r>
        <w:rPr>
          <w:rFonts w:ascii="Arial" w:cs="Arial" w:eastAsia="Arial" w:hAnsi="Arial"/>
          <w:sz w:val="14"/>
          <w:szCs w:val="14"/>
          <w:u w:val="single" w:color="auto"/>
          <w:color w:val="auto"/>
        </w:rPr>
        <w:t>Warrants</w:t>
      </w:r>
      <w:r>
        <w:rPr>
          <w:rFonts w:ascii="Arial" w:cs="Arial" w:eastAsia="Arial" w:hAnsi="Arial"/>
          <w:sz w:val="14"/>
          <w:szCs w:val="14"/>
          <w:color w:val="auto"/>
        </w:rPr>
        <w:t>”)</w:t>
      </w:r>
    </w:p>
    <w:p>
      <w:pPr>
        <w:spacing w:after="0" w:line="106" w:lineRule="exact"/>
        <w:rPr>
          <w:rFonts w:ascii="Arial" w:cs="Arial" w:eastAsia="Arial" w:hAnsi="Arial"/>
          <w:sz w:val="14"/>
          <w:szCs w:val="14"/>
          <w:color w:val="auto"/>
        </w:rPr>
      </w:pPr>
    </w:p>
    <w:p>
      <w:pPr>
        <w:ind w:left="660" w:right="480" w:hanging="328"/>
        <w:spacing w:after="0" w:line="291" w:lineRule="auto"/>
        <w:tabs>
          <w:tab w:leader="none" w:pos="6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This percentage is calculated based upon 11,037,481 Shares outstanding, as set forth in the Issuer’s Rule 424(b)(4) Prospectus filed with the Securities and Exchange Commission (“</w:t>
      </w:r>
      <w:r>
        <w:rPr>
          <w:rFonts w:ascii="Arial" w:cs="Arial" w:eastAsia="Arial" w:hAnsi="Arial"/>
          <w:sz w:val="13"/>
          <w:szCs w:val="13"/>
          <w:u w:val="single" w:color="auto"/>
          <w:color w:val="auto"/>
        </w:rPr>
        <w:t>SEC</w:t>
      </w:r>
      <w:r>
        <w:rPr>
          <w:rFonts w:ascii="Arial" w:cs="Arial" w:eastAsia="Arial" w:hAnsi="Arial"/>
          <w:sz w:val="13"/>
          <w:szCs w:val="13"/>
          <w:color w:val="auto"/>
        </w:rPr>
        <w:t>”) on November 8, 2019 and includes an additional 30,725 Shares subject to currently exercisable Warrants held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219519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95195" cy="308610"/>
                    </a:xfrm>
                    <a:prstGeom prst="rect">
                      <a:avLst/>
                    </a:prstGeom>
                    <a:noFill/>
                  </pic:spPr>
                </pic:pic>
              </a:graphicData>
            </a:graphic>
          </wp:anchor>
        </w:drawing>
        <w:t>CUSIP No. 872381108</w:t>
      </w: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20" w:type="dxa"/>
            <w:vAlign w:val="bottom"/>
            <w:tcBorders>
              <w:top w:val="single" w:sz="8" w:color="auto"/>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5"/>
              </w:rPr>
              <w:t>1</w:t>
            </w:r>
          </w:p>
        </w:tc>
        <w:tc>
          <w:tcPr>
            <w:tcW w:w="200" w:type="dxa"/>
            <w:vAlign w:val="bottom"/>
            <w:tcBorders>
              <w:top w:val="single" w:sz="8" w:color="auto"/>
              <w:right w:val="single" w:sz="8" w:color="auto"/>
            </w:tcBorders>
          </w:tcPr>
          <w:p>
            <w:pPr>
              <w:spacing w:after="0"/>
              <w:rPr>
                <w:sz w:val="23"/>
                <w:szCs w:val="23"/>
                <w:color w:val="auto"/>
              </w:rPr>
            </w:pPr>
          </w:p>
        </w:tc>
        <w:tc>
          <w:tcPr>
            <w:tcW w:w="83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Names of Reporting Persons.</w:t>
            </w:r>
          </w:p>
        </w:tc>
        <w:tc>
          <w:tcPr>
            <w:tcW w:w="23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OrbiMed Capital GP IV LLC</w:t>
            </w: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360" w:type="dxa"/>
            <w:vAlign w:val="bottom"/>
            <w:gridSpan w:val="3"/>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8360" w:type="dxa"/>
            <w:vAlign w:val="bottom"/>
            <w:tcBorders>
              <w:bottom w:val="single" w:sz="8" w:color="auto"/>
            </w:tcBorders>
            <w:gridSpan w:val="3"/>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5"/>
              </w:rPr>
              <w:t>2</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(a) o</w:t>
            </w:r>
          </w:p>
        </w:tc>
        <w:tc>
          <w:tcPr>
            <w:tcW w:w="6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(b) o</w:t>
            </w:r>
          </w:p>
        </w:tc>
        <w:tc>
          <w:tcPr>
            <w:tcW w:w="6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20" w:type="dxa"/>
            <w:vAlign w:val="bottom"/>
            <w:tcBorders>
              <w:left w:val="single" w:sz="8" w:color="auto"/>
            </w:tcBorders>
          </w:tcPr>
          <w:p>
            <w:pPr>
              <w:jc w:val="center"/>
              <w:ind w:left="77"/>
              <w:spacing w:after="0"/>
              <w:rPr>
                <w:sz w:val="20"/>
                <w:szCs w:val="20"/>
                <w:color w:val="auto"/>
              </w:rPr>
            </w:pPr>
            <w:r>
              <w:rPr>
                <w:rFonts w:ascii="Arial" w:cs="Arial" w:eastAsia="Arial" w:hAnsi="Arial"/>
                <w:sz w:val="25"/>
                <w:szCs w:val="25"/>
                <w:color w:val="auto"/>
                <w:w w:val="85"/>
              </w:rPr>
              <w:t>3</w:t>
            </w:r>
          </w:p>
        </w:tc>
        <w:tc>
          <w:tcPr>
            <w:tcW w:w="200" w:type="dxa"/>
            <w:vAlign w:val="bottom"/>
            <w:tcBorders>
              <w:right w:val="single" w:sz="8" w:color="auto"/>
            </w:tcBorders>
          </w:tcPr>
          <w:p>
            <w:pPr>
              <w:spacing w:after="0"/>
              <w:rPr>
                <w:sz w:val="24"/>
                <w:szCs w:val="24"/>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2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3"/>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5"/>
              </w:rPr>
              <w:t>4</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Source of Funds (See Instructions)</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AF</w:t>
            </w: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3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8360" w:type="dxa"/>
            <w:vAlign w:val="bottom"/>
            <w:tcBorders>
              <w:bottom w:val="single" w:sz="8" w:color="auto"/>
            </w:tcBorders>
            <w:gridSpan w:val="3"/>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20" w:type="dxa"/>
            <w:vAlign w:val="bottom"/>
            <w:tcBorders>
              <w:left w:val="single" w:sz="8" w:color="auto"/>
            </w:tcBorders>
          </w:tcPr>
          <w:p>
            <w:pPr>
              <w:jc w:val="center"/>
              <w:ind w:left="77"/>
              <w:spacing w:after="0"/>
              <w:rPr>
                <w:sz w:val="20"/>
                <w:szCs w:val="20"/>
                <w:color w:val="auto"/>
              </w:rPr>
            </w:pPr>
            <w:r>
              <w:rPr>
                <w:rFonts w:ascii="Arial" w:cs="Arial" w:eastAsia="Arial" w:hAnsi="Arial"/>
                <w:sz w:val="25"/>
                <w:szCs w:val="25"/>
                <w:color w:val="auto"/>
                <w:w w:val="85"/>
              </w:rPr>
              <w:t>5</w:t>
            </w:r>
          </w:p>
        </w:tc>
        <w:tc>
          <w:tcPr>
            <w:tcW w:w="200" w:type="dxa"/>
            <w:vAlign w:val="bottom"/>
            <w:tcBorders>
              <w:right w:val="single" w:sz="8" w:color="auto"/>
            </w:tcBorders>
          </w:tcPr>
          <w:p>
            <w:pPr>
              <w:spacing w:after="0"/>
              <w:rPr>
                <w:sz w:val="24"/>
                <w:szCs w:val="24"/>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34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52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3"/>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5"/>
              </w:rPr>
              <w:t>6</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3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tcPr>
          <w:p>
            <w:pPr>
              <w:spacing w:after="0"/>
              <w:rPr>
                <w:sz w:val="21"/>
                <w:szCs w:val="21"/>
                <w:color w:val="auto"/>
              </w:rPr>
            </w:pPr>
          </w:p>
        </w:tc>
        <w:tc>
          <w:tcPr>
            <w:tcW w:w="158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7</w:t>
            </w:r>
          </w:p>
        </w:tc>
        <w:tc>
          <w:tcPr>
            <w:tcW w:w="63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300" w:type="dxa"/>
            <w:vAlign w:val="bottom"/>
          </w:tcPr>
          <w:p>
            <w:pPr>
              <w:ind w:left="40"/>
              <w:spacing w:after="0" w:line="176" w:lineRule="exact"/>
              <w:rPr>
                <w:sz w:val="20"/>
                <w:szCs w:val="20"/>
                <w:color w:val="auto"/>
              </w:rPr>
            </w:pPr>
            <w:r>
              <w:rPr>
                <w:rFonts w:ascii="Arial" w:cs="Arial" w:eastAsia="Arial" w:hAnsi="Arial"/>
                <w:sz w:val="18"/>
                <w:szCs w:val="18"/>
                <w:color w:val="auto"/>
              </w:rPr>
              <w:t>0</w:t>
            </w:r>
          </w:p>
        </w:tc>
        <w:tc>
          <w:tcPr>
            <w:tcW w:w="2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2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right w:val="single" w:sz="8" w:color="auto"/>
            </w:tcBorders>
            <w:vMerge w:val="restart"/>
          </w:tcPr>
          <w:p>
            <w:pPr>
              <w:jc w:val="center"/>
              <w:ind w:right="610"/>
              <w:spacing w:after="0" w:line="201" w:lineRule="exact"/>
              <w:rPr>
                <w:sz w:val="20"/>
                <w:szCs w:val="20"/>
                <w:color w:val="auto"/>
              </w:rPr>
            </w:pPr>
            <w:r>
              <w:rPr>
                <w:rFonts w:ascii="Arial" w:cs="Arial" w:eastAsia="Arial" w:hAnsi="Arial"/>
                <w:sz w:val="18"/>
                <w:szCs w:val="18"/>
                <w:color w:val="auto"/>
                <w:w w:val="91"/>
              </w:rPr>
              <w:t>SHARES</w:t>
            </w:r>
          </w:p>
        </w:tc>
        <w:tc>
          <w:tcPr>
            <w:tcW w:w="680" w:type="dxa"/>
            <w:vAlign w:val="bottom"/>
            <w:tcBorders>
              <w:bottom w:val="single" w:sz="8" w:color="auto"/>
              <w:right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5"/>
                <w:szCs w:val="25"/>
                <w:color w:val="auto"/>
                <w:w w:val="85"/>
              </w:rPr>
              <w:t>8</w:t>
            </w:r>
          </w:p>
        </w:tc>
        <w:tc>
          <w:tcPr>
            <w:tcW w:w="6300" w:type="dxa"/>
            <w:vAlign w:val="bottom"/>
            <w:vMerge w:val="continue"/>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0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3,058,267 (1)</w:t>
            </w:r>
          </w:p>
        </w:tc>
        <w:tc>
          <w:tcPr>
            <w:tcW w:w="2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0" w:type="dxa"/>
            <w:vAlign w:val="bottom"/>
            <w:tcBorders>
              <w:left w:val="single" w:sz="8" w:color="auto"/>
            </w:tcBorders>
          </w:tcPr>
          <w:p>
            <w:pPr>
              <w:spacing w:after="0"/>
              <w:rPr>
                <w:sz w:val="19"/>
                <w:szCs w:val="19"/>
                <w:color w:val="auto"/>
              </w:rPr>
            </w:pPr>
          </w:p>
        </w:tc>
        <w:tc>
          <w:tcPr>
            <w:tcW w:w="15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30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right w:val="single" w:sz="8" w:color="auto"/>
            </w:tcBorders>
          </w:tcPr>
          <w:p>
            <w:pPr>
              <w:jc w:val="center"/>
              <w:ind w:right="630"/>
              <w:spacing w:after="0" w:line="202" w:lineRule="exact"/>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63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vMerge w:val="continue"/>
          </w:tcPr>
          <w:p>
            <w:pPr>
              <w:spacing w:after="0"/>
              <w:rPr>
                <w:sz w:val="18"/>
                <w:szCs w:val="18"/>
                <w:color w:val="auto"/>
              </w:rPr>
            </w:pPr>
          </w:p>
        </w:tc>
        <w:tc>
          <w:tcPr>
            <w:tcW w:w="6300" w:type="dxa"/>
            <w:vAlign w:val="bottom"/>
          </w:tcPr>
          <w:p>
            <w:pPr>
              <w:ind w:left="40"/>
              <w:spacing w:after="0"/>
              <w:rPr>
                <w:sz w:val="20"/>
                <w:szCs w:val="20"/>
                <w:color w:val="auto"/>
              </w:rPr>
            </w:pPr>
            <w:r>
              <w:rPr>
                <w:rFonts w:ascii="Arial" w:cs="Arial" w:eastAsia="Arial" w:hAnsi="Arial"/>
                <w:sz w:val="18"/>
                <w:szCs w:val="18"/>
                <w:color w:val="auto"/>
              </w:rPr>
              <w:t>0</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2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right w:val="single" w:sz="8" w:color="auto"/>
            </w:tcBorders>
            <w:vMerge w:val="restart"/>
          </w:tcPr>
          <w:p>
            <w:pPr>
              <w:jc w:val="center"/>
              <w:ind w:right="610"/>
              <w:spacing w:after="0" w:line="201" w:lineRule="exact"/>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2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2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right w:val="single" w:sz="8" w:color="auto"/>
            </w:tcBorders>
            <w:vMerge w:val="restart"/>
          </w:tcPr>
          <w:p>
            <w:pPr>
              <w:jc w:val="center"/>
              <w:ind w:right="630"/>
              <w:spacing w:after="0"/>
              <w:rPr>
                <w:sz w:val="20"/>
                <w:szCs w:val="20"/>
                <w:color w:val="auto"/>
              </w:rPr>
            </w:pPr>
            <w:r>
              <w:rPr>
                <w:rFonts w:ascii="Arial" w:cs="Arial" w:eastAsia="Arial" w:hAnsi="Arial"/>
                <w:sz w:val="18"/>
                <w:szCs w:val="18"/>
                <w:color w:val="auto"/>
                <w:w w:val="99"/>
              </w:rPr>
              <w:t>WITH</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6300" w:type="dxa"/>
            <w:vAlign w:val="bottom"/>
            <w:vMerge w:val="continue"/>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3,058,267 (1)</w:t>
            </w: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300" w:type="dxa"/>
            <w:vAlign w:val="bottom"/>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77"/>
              <w:spacing w:after="0"/>
              <w:rPr>
                <w:sz w:val="20"/>
                <w:szCs w:val="20"/>
                <w:color w:val="auto"/>
              </w:rPr>
            </w:pPr>
            <w:r>
              <w:rPr>
                <w:rFonts w:ascii="Arial" w:cs="Arial" w:eastAsia="Arial" w:hAnsi="Arial"/>
                <w:sz w:val="25"/>
                <w:szCs w:val="25"/>
                <w:color w:val="auto"/>
                <w:w w:val="86"/>
              </w:rPr>
              <w:t>11</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3,058,267 (1)</w:t>
            </w: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3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20" w:type="dxa"/>
            <w:vAlign w:val="bottom"/>
            <w:tcBorders>
              <w:left w:val="single" w:sz="8" w:color="auto"/>
            </w:tcBorders>
          </w:tcPr>
          <w:p>
            <w:pPr>
              <w:jc w:val="center"/>
              <w:ind w:left="97"/>
              <w:spacing w:after="0"/>
              <w:rPr>
                <w:sz w:val="20"/>
                <w:szCs w:val="20"/>
                <w:color w:val="auto"/>
              </w:rPr>
            </w:pPr>
            <w:r>
              <w:rPr>
                <w:rFonts w:ascii="Arial" w:cs="Arial" w:eastAsia="Arial" w:hAnsi="Arial"/>
                <w:sz w:val="25"/>
                <w:szCs w:val="25"/>
                <w:color w:val="auto"/>
                <w:w w:val="93"/>
              </w:rPr>
              <w:t>12</w:t>
            </w:r>
          </w:p>
        </w:tc>
        <w:tc>
          <w:tcPr>
            <w:tcW w:w="200" w:type="dxa"/>
            <w:vAlign w:val="bottom"/>
            <w:tcBorders>
              <w:right w:val="single" w:sz="8" w:color="auto"/>
            </w:tcBorders>
          </w:tcPr>
          <w:p>
            <w:pPr>
              <w:spacing w:after="0"/>
              <w:rPr>
                <w:sz w:val="24"/>
                <w:szCs w:val="24"/>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34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
        </w:trPr>
        <w:tc>
          <w:tcPr>
            <w:tcW w:w="52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300" w:type="dxa"/>
            <w:vAlign w:val="bottom"/>
            <w:tcBorders>
              <w:bottom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93"/>
              </w:rPr>
              <w:t>13</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27.7% (2)</w:t>
            </w: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3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vMerge w:val="restart"/>
          </w:tcPr>
          <w:p>
            <w:pPr>
              <w:jc w:val="center"/>
              <w:ind w:left="97"/>
              <w:spacing w:after="0"/>
              <w:rPr>
                <w:sz w:val="20"/>
                <w:szCs w:val="20"/>
                <w:color w:val="auto"/>
              </w:rPr>
            </w:pPr>
            <w:r>
              <w:rPr>
                <w:rFonts w:ascii="Arial" w:cs="Arial" w:eastAsia="Arial" w:hAnsi="Arial"/>
                <w:sz w:val="25"/>
                <w:szCs w:val="25"/>
                <w:color w:val="auto"/>
                <w:w w:val="93"/>
              </w:rPr>
              <w:t>14</w:t>
            </w:r>
          </w:p>
        </w:tc>
        <w:tc>
          <w:tcPr>
            <w:tcW w:w="200" w:type="dxa"/>
            <w:vAlign w:val="bottom"/>
            <w:tcBorders>
              <w:right w:val="single" w:sz="8" w:color="auto"/>
            </w:tcBorders>
          </w:tcPr>
          <w:p>
            <w:pPr>
              <w:spacing w:after="0"/>
              <w:rPr>
                <w:sz w:val="21"/>
                <w:szCs w:val="21"/>
                <w:color w:val="auto"/>
              </w:rPr>
            </w:pPr>
          </w:p>
        </w:tc>
        <w:tc>
          <w:tcPr>
            <w:tcW w:w="836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Borders>
              <w:left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520" w:type="dxa"/>
            <w:vAlign w:val="bottom"/>
            <w:tcBorders>
              <w:lef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3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right="120" w:hanging="328"/>
        <w:spacing w:after="0" w:line="253"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(i) 3,027,542 shares of common stock, par value $0.001 per share (the “</w:t>
      </w:r>
      <w:r>
        <w:rPr>
          <w:rFonts w:ascii="Arial" w:cs="Arial" w:eastAsia="Arial" w:hAnsi="Arial"/>
          <w:sz w:val="14"/>
          <w:szCs w:val="14"/>
          <w:u w:val="single" w:color="auto"/>
          <w:color w:val="auto"/>
        </w:rPr>
        <w:t>Shares</w:t>
      </w:r>
      <w:r>
        <w:rPr>
          <w:rFonts w:ascii="Arial" w:cs="Arial" w:eastAsia="Arial" w:hAnsi="Arial"/>
          <w:sz w:val="14"/>
          <w:szCs w:val="14"/>
          <w:color w:val="auto"/>
        </w:rPr>
        <w:t>”), of TELA Bio, Inc. (the “</w:t>
      </w:r>
      <w:r>
        <w:rPr>
          <w:rFonts w:ascii="Arial" w:cs="Arial" w:eastAsia="Arial" w:hAnsi="Arial"/>
          <w:sz w:val="14"/>
          <w:szCs w:val="14"/>
          <w:u w:val="single" w:color="auto"/>
          <w:color w:val="auto"/>
        </w:rPr>
        <w:t>Issuer</w:t>
      </w:r>
      <w:r>
        <w:rPr>
          <w:rFonts w:ascii="Arial" w:cs="Arial" w:eastAsia="Arial" w:hAnsi="Arial"/>
          <w:sz w:val="14"/>
          <w:szCs w:val="14"/>
          <w:color w:val="auto"/>
        </w:rPr>
        <w:t>”) and (ii) 30,725 Shares issuable upon the exercise of warrants to purchase Shares (the “</w:t>
      </w:r>
      <w:r>
        <w:rPr>
          <w:rFonts w:ascii="Arial" w:cs="Arial" w:eastAsia="Arial" w:hAnsi="Arial"/>
          <w:sz w:val="14"/>
          <w:szCs w:val="14"/>
          <w:u w:val="single" w:color="auto"/>
          <w:color w:val="auto"/>
        </w:rPr>
        <w:t>Warrants</w:t>
      </w:r>
      <w:r>
        <w:rPr>
          <w:rFonts w:ascii="Arial" w:cs="Arial" w:eastAsia="Arial" w:hAnsi="Arial"/>
          <w:sz w:val="14"/>
          <w:szCs w:val="14"/>
          <w:color w:val="auto"/>
        </w:rPr>
        <w:t>”).</w:t>
      </w:r>
    </w:p>
    <w:p>
      <w:pPr>
        <w:spacing w:after="0" w:line="106" w:lineRule="exact"/>
        <w:rPr>
          <w:rFonts w:ascii="Arial" w:cs="Arial" w:eastAsia="Arial" w:hAnsi="Arial"/>
          <w:sz w:val="14"/>
          <w:szCs w:val="14"/>
          <w:color w:val="auto"/>
        </w:rPr>
      </w:pPr>
    </w:p>
    <w:p>
      <w:pPr>
        <w:ind w:left="660" w:right="480" w:hanging="328"/>
        <w:spacing w:after="0" w:line="291"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This percentage is calculated based upon 11,037,481 Shares outstanding, as set forth in the Issuer’s Rule 424(b)(4) Prospectus filed with the Securities and Exchange Commission (“</w:t>
      </w:r>
      <w:r>
        <w:rPr>
          <w:rFonts w:ascii="Arial" w:cs="Arial" w:eastAsia="Arial" w:hAnsi="Arial"/>
          <w:sz w:val="13"/>
          <w:szCs w:val="13"/>
          <w:u w:val="single" w:color="auto"/>
          <w:color w:val="auto"/>
        </w:rPr>
        <w:t>SEC</w:t>
      </w:r>
      <w:r>
        <w:rPr>
          <w:rFonts w:ascii="Arial" w:cs="Arial" w:eastAsia="Arial" w:hAnsi="Arial"/>
          <w:sz w:val="13"/>
          <w:szCs w:val="13"/>
          <w:color w:val="auto"/>
        </w:rPr>
        <w:t>”) on November 8, 2019 and includes an additional 30,725 Shares subject to currently exercisable Warrants held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Schedule 13D (the “</w:t>
      </w:r>
      <w:r>
        <w:rPr>
          <w:rFonts w:ascii="Arial" w:cs="Arial" w:eastAsia="Arial" w:hAnsi="Arial"/>
          <w:sz w:val="18"/>
          <w:szCs w:val="18"/>
          <w:u w:val="single" w:color="auto"/>
          <w:color w:val="auto"/>
        </w:rPr>
        <w:t>Statement</w:t>
      </w:r>
      <w:r>
        <w:rPr>
          <w:rFonts w:ascii="Arial" w:cs="Arial" w:eastAsia="Arial" w:hAnsi="Arial"/>
          <w:sz w:val="18"/>
          <w:szCs w:val="18"/>
          <w:color w:val="auto"/>
        </w:rPr>
        <w:t>”) relates to the common stock, par value $0.001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TELA Bio, Inc., a corporation organized under the laws of Delaware (the “</w:t>
      </w:r>
      <w:r>
        <w:rPr>
          <w:rFonts w:ascii="Arial" w:cs="Arial" w:eastAsia="Arial" w:hAnsi="Arial"/>
          <w:sz w:val="18"/>
          <w:szCs w:val="18"/>
          <w:u w:val="single" w:color="auto"/>
          <w:color w:val="auto"/>
        </w:rPr>
        <w:t>Issuer</w:t>
      </w:r>
      <w:r>
        <w:rPr>
          <w:rFonts w:ascii="Arial" w:cs="Arial" w:eastAsia="Arial" w:hAnsi="Arial"/>
          <w:sz w:val="18"/>
          <w:szCs w:val="18"/>
          <w:color w:val="auto"/>
        </w:rPr>
        <w:t>”), with its principal executive offices located at 1 Great Valley Parkway, Suite 24, Malvern, Pennsylvania 19355. The Shares are listed on the NASDAQ Global Market under the ticker symbol “TELA”. Information given in response to each item shall be deemed incorporated by reference in all other items, as applicable.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28, 2019, the Issuer effected a reverse stock-split at a ratio of 1-for-24.69 (the “</w:t>
      </w:r>
      <w:r>
        <w:rPr>
          <w:rFonts w:ascii="Arial" w:cs="Arial" w:eastAsia="Arial" w:hAnsi="Arial"/>
          <w:sz w:val="18"/>
          <w:szCs w:val="18"/>
          <w:u w:val="single" w:color="auto"/>
          <w:color w:val="auto"/>
        </w:rPr>
        <w:t>Reverse Stock Split</w:t>
      </w:r>
      <w:r>
        <w:rPr>
          <w:rFonts w:ascii="Arial" w:cs="Arial" w:eastAsia="Arial" w:hAnsi="Arial"/>
          <w:sz w:val="18"/>
          <w:szCs w:val="18"/>
          <w:color w:val="auto"/>
        </w:rPr>
        <w:t>”). References in this Statement to numbers of Shares give effect to the Reverse Stock Split.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13, 2019, the Issuer completed its initial public offering pursuant to which the Issuer agreed to issue and sell to the participants 4,000,000 Shares (the “</w:t>
      </w:r>
      <w:r>
        <w:rPr>
          <w:rFonts w:ascii="Arial" w:cs="Arial" w:eastAsia="Arial" w:hAnsi="Arial"/>
          <w:sz w:val="18"/>
          <w:szCs w:val="18"/>
          <w:u w:val="single" w:color="auto"/>
          <w:color w:val="auto"/>
        </w:rPr>
        <w:t>IPO</w:t>
      </w:r>
      <w:r>
        <w:rPr>
          <w:rFonts w:ascii="Arial" w:cs="Arial" w:eastAsia="Arial" w:hAnsi="Arial"/>
          <w:sz w:val="18"/>
          <w:szCs w:val="18"/>
          <w:color w:val="auto"/>
        </w:rPr>
        <w:t>”). The purchase price for each Share was $13.00. As a result of the IPO the Issuer’s total number of outstanding Shares increased to 11,006,756.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firstLine="656"/>
        <w:spacing w:after="0" w:line="277" w:lineRule="auto"/>
        <w:tabs>
          <w:tab w:leader="none" w:pos="92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13D is being filed by OrbiMed Advisors LLC (“</w:t>
      </w:r>
      <w:r>
        <w:rPr>
          <w:rFonts w:ascii="Arial" w:cs="Arial" w:eastAsia="Arial" w:hAnsi="Arial"/>
          <w:sz w:val="18"/>
          <w:szCs w:val="18"/>
          <w:u w:val="single" w:color="auto"/>
          <w:color w:val="auto"/>
        </w:rPr>
        <w:t>OrbiMed Advisors</w:t>
      </w:r>
      <w:r>
        <w:rPr>
          <w:rFonts w:ascii="Arial" w:cs="Arial" w:eastAsia="Arial" w:hAnsi="Arial"/>
          <w:sz w:val="18"/>
          <w:szCs w:val="18"/>
          <w:color w:val="auto"/>
        </w:rPr>
        <w:t>”) and OrbiMed Capital GP IV LLC (“</w:t>
      </w:r>
      <w:r>
        <w:rPr>
          <w:rFonts w:ascii="Arial" w:cs="Arial" w:eastAsia="Arial" w:hAnsi="Arial"/>
          <w:sz w:val="18"/>
          <w:szCs w:val="18"/>
          <w:u w:val="single" w:color="auto"/>
          <w:color w:val="auto"/>
        </w:rPr>
        <w:t>OrbiMed GP</w:t>
      </w:r>
      <w:r>
        <w:rPr>
          <w:rFonts w:ascii="Arial" w:cs="Arial" w:eastAsia="Arial" w:hAnsi="Arial"/>
          <w:sz w:val="18"/>
          <w:szCs w:val="18"/>
          <w:color w:val="auto"/>
        </w:rPr>
        <w:t>”)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20" w:firstLine="712"/>
        <w:spacing w:after="0" w:line="264" w:lineRule="auto"/>
        <w:tabs>
          <w:tab w:leader="none" w:pos="969" w:val="left"/>
        </w:tabs>
        <w:numPr>
          <w:ilvl w:val="1"/>
          <w:numId w:val="4"/>
        </w:numPr>
        <w:rPr>
          <w:rFonts w:ascii="Arial" w:cs="Arial" w:eastAsia="Arial" w:hAnsi="Arial"/>
          <w:sz w:val="18"/>
          <w:szCs w:val="18"/>
          <w:color w:val="auto"/>
        </w:rPr>
      </w:pPr>
      <w:r>
        <w:rPr>
          <w:rFonts w:ascii="Arial" w:cs="Arial" w:eastAsia="Arial" w:hAnsi="Arial"/>
          <w:sz w:val="18"/>
          <w:szCs w:val="18"/>
          <w:color w:val="auto"/>
        </w:rPr>
        <w:t>—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spacing w:after="0" w:line="18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OrbiMed GP, a limited liability company organized under the laws of Delaware, is the general partner of a limited partnership as more particularly described in Item 6 below. OrbiMed GP has its principal offices at 601 Lexington Avenue, 54th Floor, New York, New York 10022.</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directors and executive officers of OrbiMed Advisors and OrbiMed GP are set forth on Schedules I and II, respectively, attached hereto.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Schedules I and II set forth the following information with respect to each such person:</w:t>
      </w:r>
    </w:p>
    <w:p>
      <w:pPr>
        <w:spacing w:after="0" w:line="211" w:lineRule="exact"/>
        <w:rPr>
          <w:sz w:val="20"/>
          <w:szCs w:val="20"/>
          <w:color w:val="auto"/>
        </w:rPr>
      </w:pPr>
    </w:p>
    <w:p>
      <w:pPr>
        <w:ind w:left="1280" w:hanging="62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225" w:lineRule="exact"/>
        <w:rPr>
          <w:rFonts w:ascii="Arial" w:cs="Arial" w:eastAsia="Arial" w:hAnsi="Arial"/>
          <w:sz w:val="18"/>
          <w:szCs w:val="18"/>
          <w:color w:val="auto"/>
        </w:rPr>
      </w:pPr>
    </w:p>
    <w:p>
      <w:pPr>
        <w:ind w:right="20" w:firstLine="656"/>
        <w:spacing w:after="0" w:line="277" w:lineRule="auto"/>
        <w:tabs>
          <w:tab w:leader="none" w:pos="1298"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 principal occupation of employment and the name, principal business and address of any corporation or other organization in which such employment is conducted; and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jc w:val="both"/>
        <w:ind w:firstLine="656"/>
        <w:spacing w:after="0" w:line="259" w:lineRule="auto"/>
        <w:tabs>
          <w:tab w:leader="none" w:pos="911" w:val="left"/>
        </w:tabs>
        <w:numPr>
          <w:ilvl w:val="0"/>
          <w:numId w:val="6"/>
        </w:numPr>
        <w:rPr>
          <w:rFonts w:ascii="Arial" w:cs="Arial" w:eastAsia="Arial" w:hAnsi="Arial"/>
          <w:sz w:val="18"/>
          <w:szCs w:val="18"/>
          <w:color w:val="auto"/>
        </w:rPr>
      </w:pPr>
      <w:r>
        <w:rPr>
          <w:rFonts w:ascii="Arial" w:cs="Arial" w:eastAsia="Arial" w:hAnsi="Arial"/>
          <w:sz w:val="18"/>
          <w:szCs w:val="18"/>
          <w:color w:val="auto"/>
        </w:rPr>
        <w:t>— (e) During the last five years, neither the Reporting Persons nor any Person named in Schedules I and II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December 3, 2012 and August 13, 2013, OrbiMed Advisors and OrbiMed GP, pursuant to their authority under the limited partnership agreement of OrbiMed Private Investments IV, LP (“</w:t>
      </w:r>
      <w:r>
        <w:rPr>
          <w:rFonts w:ascii="Arial" w:cs="Arial" w:eastAsia="Arial" w:hAnsi="Arial"/>
          <w:sz w:val="18"/>
          <w:szCs w:val="18"/>
          <w:u w:val="single" w:color="auto"/>
          <w:color w:val="auto"/>
        </w:rPr>
        <w:t>OPI IV</w:t>
      </w:r>
      <w:r>
        <w:rPr>
          <w:rFonts w:ascii="Arial" w:cs="Arial" w:eastAsia="Arial" w:hAnsi="Arial"/>
          <w:sz w:val="18"/>
          <w:szCs w:val="18"/>
          <w:color w:val="auto"/>
        </w:rPr>
        <w:t>”), as more particularly referred to in Item 6 below, caused OPI IV to purchase a total of 481,095 shares of Series A preferred stock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ind w:right="280" w:firstLine="648"/>
        <w:spacing w:after="0" w:line="308" w:lineRule="auto"/>
        <w:rPr>
          <w:sz w:val="20"/>
          <w:szCs w:val="20"/>
          <w:color w:val="auto"/>
        </w:rPr>
      </w:pPr>
      <w:r>
        <w:rPr>
          <w:rFonts w:ascii="Arial" w:cs="Arial" w:eastAsia="Arial" w:hAnsi="Arial"/>
          <w:sz w:val="17"/>
          <w:szCs w:val="17"/>
          <w:color w:val="auto"/>
        </w:rPr>
        <w:t>On October 2, 2014, OrbiMed Advisors and OrbiMed GP, pursuant to their authority under the Limited partnership agreement of OPI IV, as more particularly referred to in Item 6 below, caused OPI IV to purchase 698,315 shares of Series B preferred stock of the Issuer.</w:t>
      </w:r>
    </w:p>
    <w:p>
      <w:pPr>
        <w:spacing w:after="0" w:line="14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January 18, 2017, OrbiMed Advisors and OrbiMed GP, pursuant to their authority under the limited partnership agreement of OPI IV, as more particularly referred to in Item 6 below, caused OPI IV to advance loans to the Issuer in exchange for a promissory note. Upon maturity, the promissory note (along with interest thereon) converted into 134,168 shares of Series B Preferred Stock. In addition, in connection with the issuance of the promissory note, OPI IV was issued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to purchase 30,725 shares of Series B Preferred Stock.</w:t>
      </w:r>
    </w:p>
    <w:p>
      <w:pPr>
        <w:spacing w:after="0" w:line="17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In June of 2019, OrbiMed Advisors and OrbiMed GP, pursuant to their authority under the limited partnership agreement of OPI IV, as more particularly referred to in Item 6 below, caused OPI IV to purchase 145,337 shares of Series B preferred stock of the Issuer.</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connection with the IPO, shares of Series A and Series B preferred stock were subsequently converted (on the closing of the IPO) into Shares on a 1-for-1 basis. In addition, accrued dividends on the Series A and Series B preferred stock were paid in Shares upon the automatic conversion of the Series A and Series B preferred stock into Shares. OPI IV received 1,184,012 Shares from the accrued dividends.</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and prior to the close of November 13, 2019, OrbiMed Advisors and OrbiMed GP, pursuant to their authority under the limited partnership agreement of OPI IV, as more particularly referred to in Item 6 below, caused OPI IV to purchase 384,615 Shares in the IPO.</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source of funds for such purchases was the working capital of OPI IV.</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result of the transactions described in this Item 3, OrbiMed Advisors and OrbiMed GP may collectively be deemed to be the beneficial owners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27.7% of the outstanding Shares. OrbiMed GP, as the general partner of OPI IV, may be deemed to be the beneficial owner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27.7% of the outstanding Shares. OrbiMed Advisors, as the managing member of OrbiMed GP, may be deemed to be the beneficial owner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27.7% of the outstanding Shares. None of the Reporting Persons have acquired or disposed of any additional Shares since November 13,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statement relates to the acquisition of Shares by the Reporting Persons. The Shares acquired by the Reporting Persons were acquired for the purpose of making an investment in the Issuer and not with the intention of acquiring control of the Issuer’s business on behalf of the Reporting Persons’ respective advisory clients.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ind w:firstLine="648"/>
        <w:spacing w:after="0" w:line="270" w:lineRule="auto"/>
        <w:rPr>
          <w:sz w:val="20"/>
          <w:szCs w:val="20"/>
          <w:color w:val="auto"/>
        </w:rPr>
      </w:pPr>
      <w:r>
        <w:rPr>
          <w:rFonts w:ascii="Arial" w:cs="Arial" w:eastAsia="Arial" w:hAnsi="Arial"/>
          <w:sz w:val="17"/>
          <w:szCs w:val="17"/>
          <w:color w:val="auto"/>
        </w:rPr>
        <w:t>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firstLine="706"/>
        <w:spacing w:after="0" w:line="264" w:lineRule="auto"/>
        <w:tabs>
          <w:tab w:leader="none" w:pos="947" w:val="left"/>
        </w:tabs>
        <w:numPr>
          <w:ilvl w:val="0"/>
          <w:numId w:val="7"/>
        </w:numPr>
        <w:rPr>
          <w:rFonts w:ascii="Arial" w:cs="Arial" w:eastAsia="Arial" w:hAnsi="Arial"/>
          <w:sz w:val="18"/>
          <w:szCs w:val="18"/>
          <w:color w:val="auto"/>
        </w:rPr>
      </w:pPr>
      <w:r>
        <w:rPr>
          <w:rFonts w:ascii="Arial" w:cs="Arial" w:eastAsia="Arial" w:hAnsi="Arial"/>
          <w:sz w:val="18"/>
          <w:szCs w:val="18"/>
          <w:color w:val="auto"/>
        </w:rPr>
        <w:t>— (b) The following disclosure is based upon 11,037,481 outstanding Shares of the Issuer, as set forth in the Issuer’s Rule 424(b)(4) Prospectus filed with the Securities and Exchange Commission on November 8, 2019 and includes an additional 30,725 Shares subject to currently exercisable Warrants held by the Reporting Persons.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this filing, OPI IV, a limited partnership organized under the laws of Delaware, holds 3,058,267 Shares, including Warrants to purchase 30,725 Shares, constituting approximately 27.7% of the issued and outstanding Shares. OrbiMed GP is the sole general partner of OPI IV, pursuant to the terms of the limited partnership agreement of OPI IV, and OrbiMed Advisors is the sole managing member of OrbiMed GP, pursuant to the terms of the limited liability company agreement of OrbiMed GP. As a result, OrbiMed Advisors and OrbiMed GP share power to direct the vote and disposition of the Shares held by OPI IV and may be deemed directly or indirectly, including by reason of their mutual affiliation, to be the beneficial owners of the Shares held by OPI IV. Advisors exercises this investment and voting power through a management committee comprised of Carl L. Gordon, Sven H. Borho and Jonathan T. Silverstein, each of whom disclaims beneficial ownership of the Shares held by OPI IV.</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Orbimed Advisors and Orbimed GP, pursuant to their authority under the limited partnership agreements of OPI IV, caused OPI IV to enter into the agreements referred to in Item 6 below.</w:t>
      </w:r>
    </w:p>
    <w:p>
      <w:pPr>
        <w:spacing w:after="0" w:line="170"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disclosed in Item 3, the Reporting Persons have not effected any transactions during the past sixty (60) days in any Shares.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relationships between the Reporting Persons described in Items 2 and 5 above, OrbiMed GP is the sole general partner of OPI IV, pursuant to the terms of the limited partnership agreement of OPI IV. Pursuant to this agreement and relationship, OrbiMed GP has discretionary investment management authority with respect to the assets of OPI IV. Such authority includes the power to vote and otherwise dispose of securities held by OPI IV. The number of outstanding Shares attributable to OPI IV is 3,058,267 Shares (which includes Shares issuable upon the exercise of Warrants). OrbiMed GP, pursuant to its authority under the limited partnership agreement of OPI IV, may be considered to hold indirectly 3,058,267 Shares (which includes Shares issuable upon the exercise of Warrants).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OrbiMed Advisors is the sole managing member of OrbiMed GP, pursuant to the terms of the limited liability company agreement of OrbiMed GP. Pursuant to these agreements and relationships, OrbiMed Advisors and OrbiMed GP have discretionary investment management authority with respect to the assets of OPI IV. Such authority includes the power of OrbiMed GP to vote and otherwise dispose of securities held by OPI IV. The number of outstanding Shares attributable to OPI IV is 3,058,267 Shares (which includes Shares issuable upon the exercise of warrants). OrbiMed Advisors, pursuant to its authority under the terms of the limited liability company agreement of OrbiMed GP, may be considered to hold indirectly 3,058,267 Shares (which includes Shares issuable upon the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8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addition, OPI IV and certain other stockholders of the Issuer entered into an amended and restated investor rights with the Issuer (the “</w:t>
      </w:r>
      <w:r>
        <w:rPr>
          <w:rFonts w:ascii="Arial" w:cs="Arial" w:eastAsia="Arial" w:hAnsi="Arial"/>
          <w:sz w:val="18"/>
          <w:szCs w:val="18"/>
          <w:u w:val="single" w:color="auto"/>
          <w:color w:val="auto"/>
        </w:rPr>
        <w:t>Investor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October 2, 2014 and amended as of October 23, 2017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Pursuant to the Investors Rights Agreement and subject to the terms and conditions therein, the parties agreed that: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19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Following the closing of the IPO, the holders of a certain number of Shares, or their transferees, will be entitled to the registration rights set forth below with respect to registration of the resale of such shares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pursuant to the Investors Rights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At any time beginning six months following the date of the underwriting agreement of the IPO, the holders of at least 70% of the registrable securities then outstanding of the Issuer may make a written request that the Issuer register some or all of their registrable securities, subject to certain specified conditions and exceptions. The Issuer is not obligated to effect more than two of these registrations.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Whenever the Issuer proposes to file a registration statement under the Securities Act, OPI IV will be entitled to notice of the registration and have the right to include its shares in the registration.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Pursuant to the Investor Rights Agreement, at any time after the Issuer is qualified to file a registration statement on Form S-3 under the Securities Act, and subject to limitations and conditions specified in the Investors Rights Agreement, the holders of at least 70% of the registrable securities then outstanding of the Issuer may make a written request that the Issuer prepare and file a registration statement on Form S-3 covering their shares, so long as the aggregate price to the public equal or exceeds $2,000,000. The Issuer is not obligated to effect more than one of these Form S-3 registrations in any 12-month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Lock-Up Agreement</w:t>
      </w:r>
    </w:p>
    <w:p>
      <w:pPr>
        <w:spacing w:after="0" w:line="185"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The Investor Rights Agreement provides that, if requested by the Issuer or the managing underwriter, and subject to certain limited exceptions, OPI IV will not, during the period ending 180 days after the date of the IPO (the “</w:t>
      </w:r>
      <w:r>
        <w:rPr>
          <w:rFonts w:ascii="Arial" w:cs="Arial" w:eastAsia="Arial" w:hAnsi="Arial"/>
          <w:sz w:val="16"/>
          <w:szCs w:val="16"/>
          <w:u w:val="single" w:color="auto"/>
          <w:color w:val="auto"/>
        </w:rPr>
        <w:t>Lock-Up Period</w:t>
      </w:r>
      <w:r>
        <w:rPr>
          <w:rFonts w:ascii="Arial" w:cs="Arial" w:eastAsia="Arial" w:hAnsi="Arial"/>
          <w:sz w:val="16"/>
          <w:szCs w:val="16"/>
          <w:color w:val="auto"/>
        </w:rPr>
        <w:t>”), directly or indirectly (1) sell, assign, transfer, pledge, contract to sell, or otherwise dispose of, any Shares or securities convertible into or exercisable or exchangeable for Shares with respect to which OPI IV has or acquires the power of disposition or (2) enter into any swap or other agreement that transfers, in whole or in part, the economic risk of ownership of any such Shares.</w:t>
      </w:r>
    </w:p>
    <w:p>
      <w:pPr>
        <w:spacing w:after="0" w:line="15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After the Lock-Up Period expires, the Reporting Persons’ Shares will be eligible for sale in the public market, subject to any applicable limitations under Rule 144 under the Securities Act, and other applicable U.S. securities laws.</w:t>
      </w:r>
    </w:p>
    <w:p>
      <w:pPr>
        <w:spacing w:after="0" w:line="170"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foregoing description of the Investor Rights Agreement does not purport to be complete and is qualified in its entirety by reference to the full text of the Investor Rights Agreement and the First Amendment, which are filed as Exhibits 2 and 3, respectively,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457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5796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tabs>
          <w:tab w:leader="none" w:pos="14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2" w:lineRule="exact"/>
        <w:rPr>
          <w:sz w:val="20"/>
          <w:szCs w:val="20"/>
          <w:color w:val="auto"/>
        </w:rPr>
      </w:pPr>
    </w:p>
    <w:p>
      <w:pPr>
        <w:ind w:left="1500" w:hanging="1384"/>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and OrbiMed Capital GP IV LLC.</w:t>
      </w:r>
    </w:p>
    <w:p>
      <w:pPr>
        <w:spacing w:after="0" w:line="198" w:lineRule="exact"/>
        <w:rPr>
          <w:rFonts w:ascii="Arial" w:cs="Arial" w:eastAsia="Arial" w:hAnsi="Arial"/>
          <w:sz w:val="18"/>
          <w:szCs w:val="18"/>
          <w:color w:val="auto"/>
        </w:rPr>
      </w:pPr>
    </w:p>
    <w:p>
      <w:pPr>
        <w:ind w:left="1500" w:hanging="1384"/>
        <w:spacing w:after="0" w:line="308" w:lineRule="auto"/>
        <w:tabs>
          <w:tab w:leader="none" w:pos="1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Investor Rights Agreement by and among the Issuer and each of the persons listed on Schedule A thereto, dated as of October 2, 2014 (incorporated by reference to Exhibit 4.2 to the Issuer’s Registration Statement on Form S-1 (SEC 333-234217)).</w:t>
      </w:r>
    </w:p>
    <w:p>
      <w:pPr>
        <w:spacing w:after="0" w:line="119" w:lineRule="exact"/>
        <w:rPr>
          <w:rFonts w:ascii="Arial" w:cs="Arial" w:eastAsia="Arial" w:hAnsi="Arial"/>
          <w:sz w:val="17"/>
          <w:szCs w:val="17"/>
          <w:color w:val="auto"/>
        </w:rPr>
      </w:pPr>
    </w:p>
    <w:p>
      <w:pPr>
        <w:ind w:left="1500" w:right="200" w:hanging="1384"/>
        <w:spacing w:after="0" w:line="264"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First Amendment and Joinder to the Amended and Restated Investor Rights Agreement by and among the Issuer and each of the signatories thereto, dated as of October 23, 2017 (incorporated by reference to Exhibit 4.3 to the Issuer’s Registration Statement on Form S-1 (SEC 333-234217)).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947420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40"/>
          </w:cols>
          <w:pgMar w:left="240" w:top="580" w:right="5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25, 2019</w:t>
      </w:r>
    </w:p>
    <w:p>
      <w:pPr>
        <w:spacing w:after="0" w:line="200" w:lineRule="exact"/>
        <w:rPr>
          <w:sz w:val="20"/>
          <w:szCs w:val="20"/>
          <w:color w:val="auto"/>
        </w:rPr>
      </w:pPr>
    </w:p>
    <w:p>
      <w:pPr>
        <w:spacing w:after="0" w:line="29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ORBIMED ADVISORS LLC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960"/>
              <w:spacing w:after="0"/>
              <w:rPr>
                <w:sz w:val="20"/>
                <w:szCs w:val="20"/>
                <w:color w:val="auto"/>
              </w:rPr>
            </w:pPr>
            <w:r>
              <w:rPr>
                <w:rFonts w:ascii="Arial" w:cs="Arial" w:eastAsia="Arial" w:hAnsi="Arial"/>
                <w:sz w:val="18"/>
                <w:szCs w:val="18"/>
                <w:color w:val="auto"/>
              </w:rPr>
              <w:t>By:</w:t>
            </w:r>
          </w:p>
        </w:tc>
        <w:tc>
          <w:tcPr>
            <w:tcW w:w="488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Name: Carl L. Gordon</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11420" w:type="dxa"/>
            <w:vAlign w:val="bottom"/>
            <w:gridSpan w:val="3"/>
          </w:tcPr>
          <w:p>
            <w:pPr>
              <w:ind w:left="5960"/>
              <w:spacing w:after="0"/>
              <w:rPr>
                <w:sz w:val="20"/>
                <w:szCs w:val="20"/>
                <w:color w:val="auto"/>
              </w:rPr>
            </w:pPr>
            <w:r>
              <w:rPr>
                <w:rFonts w:ascii="Arial" w:cs="Arial" w:eastAsia="Arial" w:hAnsi="Arial"/>
                <w:sz w:val="18"/>
                <w:szCs w:val="18"/>
                <w:color w:val="auto"/>
              </w:rPr>
              <w:t>ORBIMED CAPITAL GP IV LLC</w:t>
            </w:r>
          </w:p>
        </w:tc>
        <w:tc>
          <w:tcPr>
            <w:tcW w:w="0" w:type="dxa"/>
            <w:vAlign w:val="bottom"/>
          </w:tcPr>
          <w:p>
            <w:pPr>
              <w:spacing w:after="0"/>
              <w:rPr>
                <w:sz w:val="1"/>
                <w:szCs w:val="1"/>
                <w:color w:val="auto"/>
              </w:rPr>
            </w:pPr>
          </w:p>
        </w:tc>
      </w:tr>
      <w:tr>
        <w:trPr>
          <w:trHeight w:val="486"/>
        </w:trPr>
        <w:tc>
          <w:tcPr>
            <w:tcW w:w="6540" w:type="dxa"/>
            <w:vAlign w:val="bottom"/>
          </w:tcPr>
          <w:p>
            <w:pPr>
              <w:ind w:left="5960"/>
              <w:spacing w:after="0"/>
              <w:rPr>
                <w:sz w:val="20"/>
                <w:szCs w:val="20"/>
                <w:color w:val="auto"/>
              </w:rPr>
            </w:pPr>
            <w:r>
              <w:rPr>
                <w:rFonts w:ascii="Arial" w:cs="Arial" w:eastAsia="Arial" w:hAnsi="Arial"/>
                <w:sz w:val="18"/>
                <w:szCs w:val="18"/>
                <w:color w:val="auto"/>
              </w:rPr>
              <w:t>By:</w:t>
            </w:r>
          </w:p>
        </w:tc>
        <w:tc>
          <w:tcPr>
            <w:tcW w:w="4880" w:type="dxa"/>
            <w:vAlign w:val="bottom"/>
            <w:gridSpan w:val="2"/>
          </w:tcPr>
          <w:p>
            <w:pPr>
              <w:spacing w:after="0"/>
              <w:rPr>
                <w:sz w:val="20"/>
                <w:szCs w:val="20"/>
                <w:color w:val="auto"/>
              </w:rPr>
            </w:pPr>
            <w:r>
              <w:rPr>
                <w:rFonts w:ascii="Arial" w:cs="Arial" w:eastAsia="Arial" w:hAnsi="Arial"/>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6540" w:type="dxa"/>
            <w:vAlign w:val="bottom"/>
          </w:tcPr>
          <w:p>
            <w:pPr>
              <w:ind w:left="5960"/>
              <w:spacing w:after="0"/>
              <w:rPr>
                <w:sz w:val="20"/>
                <w:szCs w:val="20"/>
                <w:color w:val="auto"/>
              </w:rPr>
            </w:pPr>
            <w:r>
              <w:rPr>
                <w:rFonts w:ascii="Arial" w:cs="Arial" w:eastAsia="Arial" w:hAnsi="Arial"/>
                <w:sz w:val="18"/>
                <w:szCs w:val="18"/>
                <w:color w:val="auto"/>
              </w:rPr>
              <w:t>By:</w:t>
            </w:r>
          </w:p>
        </w:tc>
        <w:tc>
          <w:tcPr>
            <w:tcW w:w="488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Carl L. Gordon</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0" w:type="dxa"/>
            <w:vAlign w:val="bottom"/>
          </w:tcPr>
          <w:p>
            <w:pPr>
              <w:spacing w:after="0"/>
              <w:rPr>
                <w:sz w:val="1"/>
                <w:szCs w:val="1"/>
                <w:color w:val="auto"/>
              </w:rPr>
            </w:pPr>
          </w:p>
        </w:tc>
      </w:tr>
      <w:tr>
        <w:trPr>
          <w:trHeight w:val="1425"/>
        </w:trPr>
        <w:tc>
          <w:tcPr>
            <w:tcW w:w="65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SCHEDULE I</w:t>
      </w:r>
    </w:p>
    <w:p>
      <w:pPr>
        <w:spacing w:after="0" w:line="200" w:lineRule="exact"/>
        <w:rPr>
          <w:sz w:val="20"/>
          <w:szCs w:val="20"/>
          <w:color w:val="auto"/>
        </w:rPr>
      </w:pPr>
    </w:p>
    <w:p>
      <w:pPr>
        <w:spacing w:after="0" w:line="245" w:lineRule="exact"/>
        <w:rPr>
          <w:sz w:val="20"/>
          <w:szCs w:val="20"/>
          <w:color w:val="auto"/>
        </w:rPr>
      </w:pPr>
    </w:p>
    <w:p>
      <w:pPr>
        <w:jc w:val="both"/>
        <w:ind w:left="80" w:right="320" w:firstLine="583"/>
        <w:spacing w:after="0" w:line="279" w:lineRule="auto"/>
        <w:rPr>
          <w:sz w:val="20"/>
          <w:szCs w:val="20"/>
          <w:color w:val="auto"/>
        </w:rPr>
      </w:pPr>
      <w:r>
        <w:rPr>
          <w:rFonts w:ascii="Arial" w:cs="Arial" w:eastAsia="Arial" w:hAnsi="Arial"/>
          <w:sz w:val="18"/>
          <w:szCs w:val="18"/>
          <w:color w:val="auto"/>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Arial" w:cs="Arial" w:eastAsia="Arial" w:hAnsi="Arial"/>
          <w:sz w:val="14"/>
          <w:szCs w:val="14"/>
          <w:color w:val="auto"/>
        </w:rPr>
        <w:t>th</w:t>
      </w:r>
      <w:r>
        <w:rPr>
          <w:rFonts w:ascii="Arial" w:cs="Arial" w:eastAsia="Arial" w:hAnsi="Arial"/>
          <w:sz w:val="18"/>
          <w:szCs w:val="18"/>
          <w:color w:val="auto"/>
        </w:rPr>
        <w:t xml:space="preserve"> Floor, New York, NY 10022.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Name</w:t>
            </w:r>
          </w:p>
        </w:tc>
        <w:tc>
          <w:tcPr>
            <w:tcW w:w="150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Position with Reporting Person</w:t>
            </w:r>
          </w:p>
        </w:tc>
        <w:tc>
          <w:tcPr>
            <w:tcW w:w="4220" w:type="dxa"/>
            <w:vAlign w:val="bottom"/>
            <w:gridSpan w:val="3"/>
          </w:tcPr>
          <w:p>
            <w:pPr>
              <w:ind w:left="1420"/>
              <w:spacing w:after="0"/>
              <w:rPr>
                <w:sz w:val="20"/>
                <w:szCs w:val="20"/>
                <w:color w:val="auto"/>
              </w:rPr>
            </w:pPr>
            <w:r>
              <w:rPr>
                <w:rFonts w:ascii="Arial" w:cs="Arial" w:eastAsia="Arial" w:hAnsi="Arial"/>
                <w:sz w:val="18"/>
                <w:szCs w:val="18"/>
                <w:color w:val="auto"/>
              </w:rPr>
              <w:t>Principal Occupation</w:t>
            </w:r>
          </w:p>
        </w:tc>
      </w:tr>
      <w:tr>
        <w:trPr>
          <w:trHeight w:val="20"/>
        </w:trPr>
        <w:tc>
          <w:tcPr>
            <w:tcW w:w="1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708"/>
        </w:trPr>
        <w:tc>
          <w:tcPr>
            <w:tcW w:w="1580" w:type="dxa"/>
            <w:vAlign w:val="bottom"/>
          </w:tcPr>
          <w:p>
            <w:pPr>
              <w:spacing w:after="0"/>
              <w:rPr>
                <w:sz w:val="20"/>
                <w:szCs w:val="20"/>
                <w:color w:val="auto"/>
              </w:rPr>
            </w:pPr>
            <w:r>
              <w:rPr>
                <w:rFonts w:ascii="Arial" w:cs="Arial" w:eastAsia="Arial" w:hAnsi="Arial"/>
                <w:sz w:val="18"/>
                <w:szCs w:val="18"/>
                <w:color w:val="auto"/>
              </w:rPr>
              <w:t>Carl L. Gordon</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0" w:type="dxa"/>
            <w:vAlign w:val="bottom"/>
            <w:gridSpan w:val="3"/>
          </w:tcPr>
          <w:p>
            <w:pPr>
              <w:ind w:left="900"/>
              <w:spacing w:after="0"/>
              <w:rPr>
                <w:sz w:val="20"/>
                <w:szCs w:val="20"/>
                <w:color w:val="auto"/>
              </w:rPr>
            </w:pPr>
            <w:r>
              <w:rPr>
                <w:rFonts w:ascii="Arial" w:cs="Arial" w:eastAsia="Arial" w:hAnsi="Arial"/>
                <w:sz w:val="18"/>
                <w:szCs w:val="18"/>
                <w:color w:val="auto"/>
              </w:rPr>
              <w:t>Member</w:t>
            </w: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Member</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OrbiMed Advisors LLC</w:t>
            </w:r>
          </w:p>
        </w:tc>
      </w:tr>
      <w:tr>
        <w:trPr>
          <w:trHeight w:val="445"/>
        </w:trPr>
        <w:tc>
          <w:tcPr>
            <w:tcW w:w="3000" w:type="dxa"/>
            <w:vAlign w:val="bottom"/>
            <w:gridSpan w:val="3"/>
          </w:tcPr>
          <w:p>
            <w:pPr>
              <w:spacing w:after="0"/>
              <w:rPr>
                <w:sz w:val="20"/>
                <w:szCs w:val="20"/>
                <w:color w:val="auto"/>
              </w:rPr>
            </w:pPr>
            <w:r>
              <w:rPr>
                <w:rFonts w:ascii="Arial" w:cs="Arial" w:eastAsia="Arial" w:hAnsi="Arial"/>
                <w:sz w:val="18"/>
                <w:szCs w:val="18"/>
                <w:color w:val="auto"/>
              </w:rPr>
              <w:t>Sven H. Borho</w:t>
            </w:r>
          </w:p>
        </w:tc>
        <w:tc>
          <w:tcPr>
            <w:tcW w:w="4200" w:type="dxa"/>
            <w:vAlign w:val="bottom"/>
            <w:gridSpan w:val="3"/>
          </w:tcPr>
          <w:p>
            <w:pPr>
              <w:ind w:left="900"/>
              <w:spacing w:after="0"/>
              <w:rPr>
                <w:sz w:val="20"/>
                <w:szCs w:val="20"/>
                <w:color w:val="auto"/>
              </w:rPr>
            </w:pPr>
            <w:r>
              <w:rPr>
                <w:rFonts w:ascii="Arial" w:cs="Arial" w:eastAsia="Arial" w:hAnsi="Arial"/>
                <w:sz w:val="18"/>
                <w:szCs w:val="18"/>
                <w:color w:val="auto"/>
              </w:rPr>
              <w:t>Member</w:t>
            </w: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Member</w:t>
            </w:r>
          </w:p>
        </w:tc>
      </w:tr>
      <w:tr>
        <w:trPr>
          <w:trHeight w:val="230"/>
        </w:trPr>
        <w:tc>
          <w:tcPr>
            <w:tcW w:w="3000" w:type="dxa"/>
            <w:vAlign w:val="bottom"/>
            <w:gridSpan w:val="3"/>
          </w:tcPr>
          <w:p>
            <w:pPr>
              <w:spacing w:after="0"/>
              <w:rPr>
                <w:sz w:val="20"/>
                <w:szCs w:val="20"/>
                <w:color w:val="auto"/>
              </w:rPr>
            </w:pPr>
            <w:r>
              <w:rPr>
                <w:rFonts w:ascii="Arial" w:cs="Arial" w:eastAsia="Arial" w:hAnsi="Arial"/>
                <w:sz w:val="18"/>
                <w:szCs w:val="18"/>
                <w:color w:val="auto"/>
              </w:rPr>
              <w:t>German and Swedish Citizen</w:t>
            </w:r>
          </w:p>
        </w:tc>
        <w:tc>
          <w:tcPr>
            <w:tcW w:w="1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OrbiMed Advisors LLC</w:t>
            </w:r>
          </w:p>
        </w:tc>
      </w:tr>
      <w:tr>
        <w:trPr>
          <w:trHeight w:val="445"/>
        </w:trPr>
        <w:tc>
          <w:tcPr>
            <w:tcW w:w="3000" w:type="dxa"/>
            <w:vAlign w:val="bottom"/>
            <w:gridSpan w:val="3"/>
          </w:tcPr>
          <w:p>
            <w:pPr>
              <w:spacing w:after="0"/>
              <w:rPr>
                <w:sz w:val="20"/>
                <w:szCs w:val="20"/>
                <w:color w:val="auto"/>
              </w:rPr>
            </w:pPr>
            <w:r>
              <w:rPr>
                <w:rFonts w:ascii="Arial" w:cs="Arial" w:eastAsia="Arial" w:hAnsi="Arial"/>
                <w:sz w:val="18"/>
                <w:szCs w:val="18"/>
                <w:color w:val="auto"/>
              </w:rPr>
              <w:t>Jonathan T. Silverstein</w:t>
            </w:r>
          </w:p>
        </w:tc>
        <w:tc>
          <w:tcPr>
            <w:tcW w:w="4200" w:type="dxa"/>
            <w:vAlign w:val="bottom"/>
            <w:gridSpan w:val="3"/>
          </w:tcPr>
          <w:p>
            <w:pPr>
              <w:ind w:left="900"/>
              <w:spacing w:after="0"/>
              <w:rPr>
                <w:sz w:val="20"/>
                <w:szCs w:val="20"/>
                <w:color w:val="auto"/>
              </w:rPr>
            </w:pPr>
            <w:r>
              <w:rPr>
                <w:rFonts w:ascii="Arial" w:cs="Arial" w:eastAsia="Arial" w:hAnsi="Arial"/>
                <w:sz w:val="18"/>
                <w:szCs w:val="18"/>
                <w:color w:val="auto"/>
              </w:rPr>
              <w:t>Member</w:t>
            </w: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Member</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OrbiMed Advisors LLC</w:t>
            </w:r>
          </w:p>
        </w:tc>
      </w:tr>
      <w:tr>
        <w:trPr>
          <w:trHeight w:val="445"/>
        </w:trPr>
        <w:tc>
          <w:tcPr>
            <w:tcW w:w="3000" w:type="dxa"/>
            <w:vAlign w:val="bottom"/>
            <w:gridSpan w:val="3"/>
          </w:tcPr>
          <w:p>
            <w:pPr>
              <w:spacing w:after="0"/>
              <w:rPr>
                <w:sz w:val="20"/>
                <w:szCs w:val="20"/>
                <w:color w:val="auto"/>
              </w:rPr>
            </w:pPr>
            <w:r>
              <w:rPr>
                <w:rFonts w:ascii="Arial" w:cs="Arial" w:eastAsia="Arial" w:hAnsi="Arial"/>
                <w:sz w:val="18"/>
                <w:szCs w:val="18"/>
                <w:color w:val="auto"/>
              </w:rPr>
              <w:t>W. Carter Neild</w:t>
            </w:r>
          </w:p>
        </w:tc>
        <w:tc>
          <w:tcPr>
            <w:tcW w:w="4200" w:type="dxa"/>
            <w:vAlign w:val="bottom"/>
            <w:gridSpan w:val="3"/>
          </w:tcPr>
          <w:p>
            <w:pPr>
              <w:ind w:left="900"/>
              <w:spacing w:after="0"/>
              <w:rPr>
                <w:sz w:val="20"/>
                <w:szCs w:val="20"/>
                <w:color w:val="auto"/>
              </w:rPr>
            </w:pPr>
            <w:r>
              <w:rPr>
                <w:rFonts w:ascii="Arial" w:cs="Arial" w:eastAsia="Arial" w:hAnsi="Arial"/>
                <w:sz w:val="18"/>
                <w:szCs w:val="18"/>
                <w:color w:val="auto"/>
              </w:rPr>
              <w:t>Member</w:t>
            </w: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Member</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OrbiMed Advisors LLC</w:t>
            </w:r>
          </w:p>
        </w:tc>
      </w:tr>
      <w:tr>
        <w:trPr>
          <w:trHeight w:val="445"/>
        </w:trPr>
        <w:tc>
          <w:tcPr>
            <w:tcW w:w="3000" w:type="dxa"/>
            <w:vAlign w:val="bottom"/>
            <w:gridSpan w:val="3"/>
          </w:tcPr>
          <w:p>
            <w:pPr>
              <w:spacing w:after="0"/>
              <w:rPr>
                <w:sz w:val="20"/>
                <w:szCs w:val="20"/>
                <w:color w:val="auto"/>
              </w:rPr>
            </w:pPr>
            <w:r>
              <w:rPr>
                <w:rFonts w:ascii="Arial" w:cs="Arial" w:eastAsia="Arial" w:hAnsi="Arial"/>
                <w:sz w:val="18"/>
                <w:szCs w:val="18"/>
                <w:color w:val="auto"/>
              </w:rPr>
              <w:t>Geoffrey C. Hsu</w:t>
            </w:r>
          </w:p>
        </w:tc>
        <w:tc>
          <w:tcPr>
            <w:tcW w:w="4200" w:type="dxa"/>
            <w:vAlign w:val="bottom"/>
            <w:gridSpan w:val="3"/>
          </w:tcPr>
          <w:p>
            <w:pPr>
              <w:ind w:left="900"/>
              <w:spacing w:after="0"/>
              <w:rPr>
                <w:sz w:val="20"/>
                <w:szCs w:val="20"/>
                <w:color w:val="auto"/>
              </w:rPr>
            </w:pPr>
            <w:r>
              <w:rPr>
                <w:rFonts w:ascii="Arial" w:cs="Arial" w:eastAsia="Arial" w:hAnsi="Arial"/>
                <w:sz w:val="18"/>
                <w:szCs w:val="18"/>
                <w:color w:val="auto"/>
              </w:rPr>
              <w:t>Member</w:t>
            </w: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Member</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OrbiMed Advisors LLC</w:t>
            </w:r>
          </w:p>
        </w:tc>
      </w:tr>
      <w:tr>
        <w:trPr>
          <w:trHeight w:val="445"/>
        </w:trPr>
        <w:tc>
          <w:tcPr>
            <w:tcW w:w="3000" w:type="dxa"/>
            <w:vAlign w:val="bottom"/>
            <w:gridSpan w:val="3"/>
          </w:tcPr>
          <w:p>
            <w:pPr>
              <w:spacing w:after="0"/>
              <w:rPr>
                <w:sz w:val="20"/>
                <w:szCs w:val="20"/>
                <w:color w:val="auto"/>
              </w:rPr>
            </w:pPr>
            <w:r>
              <w:rPr>
                <w:rFonts w:ascii="Arial" w:cs="Arial" w:eastAsia="Arial" w:hAnsi="Arial"/>
                <w:sz w:val="18"/>
                <w:szCs w:val="18"/>
                <w:color w:val="auto"/>
              </w:rPr>
              <w:t>C. Scotland Stevens</w:t>
            </w:r>
          </w:p>
        </w:tc>
        <w:tc>
          <w:tcPr>
            <w:tcW w:w="4200" w:type="dxa"/>
            <w:vAlign w:val="bottom"/>
            <w:gridSpan w:val="3"/>
          </w:tcPr>
          <w:p>
            <w:pPr>
              <w:ind w:left="900"/>
              <w:spacing w:after="0"/>
              <w:rPr>
                <w:sz w:val="20"/>
                <w:szCs w:val="20"/>
                <w:color w:val="auto"/>
              </w:rPr>
            </w:pPr>
            <w:r>
              <w:rPr>
                <w:rFonts w:ascii="Arial" w:cs="Arial" w:eastAsia="Arial" w:hAnsi="Arial"/>
                <w:sz w:val="18"/>
                <w:szCs w:val="18"/>
                <w:color w:val="auto"/>
              </w:rPr>
              <w:t>Member</w:t>
            </w: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Member</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OrbiMed Advisors LLC</w:t>
            </w:r>
          </w:p>
        </w:tc>
      </w:tr>
      <w:tr>
        <w:trPr>
          <w:trHeight w:val="445"/>
        </w:trPr>
        <w:tc>
          <w:tcPr>
            <w:tcW w:w="3000" w:type="dxa"/>
            <w:vAlign w:val="bottom"/>
            <w:gridSpan w:val="3"/>
          </w:tcPr>
          <w:p>
            <w:pPr>
              <w:spacing w:after="0"/>
              <w:rPr>
                <w:sz w:val="20"/>
                <w:szCs w:val="20"/>
                <w:color w:val="auto"/>
              </w:rPr>
            </w:pPr>
            <w:r>
              <w:rPr>
                <w:rFonts w:ascii="Arial" w:cs="Arial" w:eastAsia="Arial" w:hAnsi="Arial"/>
                <w:sz w:val="18"/>
                <w:szCs w:val="18"/>
                <w:color w:val="auto"/>
              </w:rPr>
              <w:t>Trey Block</w:t>
            </w:r>
          </w:p>
        </w:tc>
        <w:tc>
          <w:tcPr>
            <w:tcW w:w="4200" w:type="dxa"/>
            <w:vAlign w:val="bottom"/>
            <w:gridSpan w:val="3"/>
          </w:tcPr>
          <w:p>
            <w:pPr>
              <w:ind w:left="900"/>
              <w:spacing w:after="0"/>
              <w:rPr>
                <w:sz w:val="20"/>
                <w:szCs w:val="20"/>
                <w:color w:val="auto"/>
              </w:rPr>
            </w:pPr>
            <w:r>
              <w:rPr>
                <w:rFonts w:ascii="Arial" w:cs="Arial" w:eastAsia="Arial" w:hAnsi="Arial"/>
                <w:sz w:val="18"/>
                <w:szCs w:val="18"/>
                <w:color w:val="auto"/>
              </w:rPr>
              <w:t>Chief Financial Officer</w:t>
            </w: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Chief Financial Officer</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rPr>
              <w:t>OrbiMed Advisors LLC</w:t>
            </w:r>
          </w:p>
        </w:tc>
      </w:tr>
      <w:tr>
        <w:trPr>
          <w:trHeight w:val="1209"/>
        </w:trPr>
        <w:tc>
          <w:tcPr>
            <w:tcW w:w="1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ind w:right="-259"/>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The business and operations of OrbiMed Capital GP IV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1421130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11" w:name="page12"/>
    <w:bookmarkEnd w:id="11"/>
    <w:p>
      <w:pPr>
        <w:jc w:val="center"/>
        <w:ind w:right="-163"/>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326390</wp:posOffset>
            </wp:positionV>
            <wp:extent cx="7246620" cy="1457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5796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
        <w:spacing w:after="0"/>
        <w:tabs>
          <w:tab w:leader="none" w:pos="1364"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2" w:lineRule="exact"/>
        <w:rPr>
          <w:sz w:val="20"/>
          <w:szCs w:val="20"/>
          <w:color w:val="auto"/>
        </w:rPr>
      </w:pPr>
    </w:p>
    <w:p>
      <w:pPr>
        <w:ind w:left="1384" w:hanging="1384"/>
        <w:spacing w:after="0"/>
        <w:tabs>
          <w:tab w:leader="none" w:pos="13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and OrbiMed Capital GP IV LLC.</w:t>
      </w:r>
    </w:p>
    <w:p>
      <w:pPr>
        <w:spacing w:after="0" w:line="198" w:lineRule="exact"/>
        <w:rPr>
          <w:rFonts w:ascii="Arial" w:cs="Arial" w:eastAsia="Arial" w:hAnsi="Arial"/>
          <w:sz w:val="18"/>
          <w:szCs w:val="18"/>
          <w:color w:val="auto"/>
        </w:rPr>
      </w:pPr>
    </w:p>
    <w:p>
      <w:pPr>
        <w:ind w:left="1384" w:hanging="1384"/>
        <w:spacing w:after="0" w:line="308" w:lineRule="auto"/>
        <w:tabs>
          <w:tab w:leader="none" w:pos="138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Investor Rights Agreement by and among the Issuer and each of the persons listed on Schedule A thereto, dated as of October 2, 2014 (incorporated by reference to Exhibit 4.2 to the Issuer’s Registration Statement on Form S-1 (SEC 333-234217)).</w:t>
      </w:r>
    </w:p>
    <w:p>
      <w:pPr>
        <w:spacing w:after="0" w:line="119" w:lineRule="exact"/>
        <w:rPr>
          <w:rFonts w:ascii="Arial" w:cs="Arial" w:eastAsia="Arial" w:hAnsi="Arial"/>
          <w:sz w:val="17"/>
          <w:szCs w:val="17"/>
          <w:color w:val="auto"/>
        </w:rPr>
      </w:pPr>
    </w:p>
    <w:p>
      <w:pPr>
        <w:ind w:left="1384" w:right="200" w:hanging="1384"/>
        <w:spacing w:after="0" w:line="264" w:lineRule="auto"/>
        <w:tabs>
          <w:tab w:leader="none" w:pos="13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First Amendment and Joinder to the Amended and Restated Investor Rights Agreement by and among the Issuer and each of the signatories thereto, dated as of October 23, 2017 (incorporated by reference to Exhibit 4.3 to the Issuer’s Registration Statement on Form S-1 (SEC 333-234217)).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570230</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24"/>
          </w:cols>
          <w:pgMar w:left="356" w:top="580" w:right="51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11" w:lineRule="exact"/>
        <w:rPr>
          <w:sz w:val="20"/>
          <w:szCs w:val="20"/>
          <w:color w:val="auto"/>
        </w:rPr>
      </w:pPr>
    </w:p>
    <w:p>
      <w:pPr>
        <w:jc w:val="both"/>
        <w:ind w:firstLine="693"/>
        <w:spacing w:after="0" w:line="257" w:lineRule="auto"/>
        <w:rPr>
          <w:sz w:val="20"/>
          <w:szCs w:val="20"/>
          <w:color w:val="auto"/>
        </w:rPr>
      </w:pPr>
      <w:r>
        <w:rPr>
          <w:rFonts w:ascii="Arial" w:cs="Arial" w:eastAsia="Arial" w:hAnsi="Arial"/>
          <w:sz w:val="18"/>
          <w:szCs w:val="18"/>
          <w:color w:val="auto"/>
        </w:rPr>
        <w:t>The undersigned hereby agree that the Statement on Schedule 13D, dated November 25, 2019, with respect to the ordinary shares of TELA Bio,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as of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2019.</w:t>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ORBIMED ADVISORS LLC</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960"/>
              <w:spacing w:after="0"/>
              <w:rPr>
                <w:sz w:val="20"/>
                <w:szCs w:val="20"/>
                <w:color w:val="auto"/>
              </w:rPr>
            </w:pPr>
            <w:r>
              <w:rPr>
                <w:rFonts w:ascii="Arial" w:cs="Arial" w:eastAsia="Arial" w:hAnsi="Arial"/>
                <w:sz w:val="18"/>
                <w:szCs w:val="18"/>
                <w:color w:val="auto"/>
              </w:rPr>
              <w:t>By:</w:t>
            </w:r>
          </w:p>
        </w:tc>
        <w:tc>
          <w:tcPr>
            <w:tcW w:w="488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Name: Carl L. Gordon</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11420" w:type="dxa"/>
            <w:vAlign w:val="bottom"/>
            <w:gridSpan w:val="3"/>
          </w:tcPr>
          <w:p>
            <w:pPr>
              <w:ind w:left="5960"/>
              <w:spacing w:after="0"/>
              <w:rPr>
                <w:sz w:val="20"/>
                <w:szCs w:val="20"/>
                <w:color w:val="auto"/>
              </w:rPr>
            </w:pPr>
            <w:r>
              <w:rPr>
                <w:rFonts w:ascii="Arial" w:cs="Arial" w:eastAsia="Arial" w:hAnsi="Arial"/>
                <w:sz w:val="18"/>
                <w:szCs w:val="18"/>
                <w:color w:val="auto"/>
              </w:rPr>
              <w:t>ORBIMED CAPITAL GP IV LLC</w:t>
            </w:r>
          </w:p>
        </w:tc>
        <w:tc>
          <w:tcPr>
            <w:tcW w:w="0" w:type="dxa"/>
            <w:vAlign w:val="bottom"/>
          </w:tcPr>
          <w:p>
            <w:pPr>
              <w:spacing w:after="0"/>
              <w:rPr>
                <w:sz w:val="1"/>
                <w:szCs w:val="1"/>
                <w:color w:val="auto"/>
              </w:rPr>
            </w:pPr>
          </w:p>
        </w:tc>
      </w:tr>
      <w:tr>
        <w:trPr>
          <w:trHeight w:val="486"/>
        </w:trPr>
        <w:tc>
          <w:tcPr>
            <w:tcW w:w="6540" w:type="dxa"/>
            <w:vAlign w:val="bottom"/>
          </w:tcPr>
          <w:p>
            <w:pPr>
              <w:ind w:left="5960"/>
              <w:spacing w:after="0"/>
              <w:rPr>
                <w:sz w:val="20"/>
                <w:szCs w:val="20"/>
                <w:color w:val="auto"/>
              </w:rPr>
            </w:pPr>
            <w:r>
              <w:rPr>
                <w:rFonts w:ascii="Arial" w:cs="Arial" w:eastAsia="Arial" w:hAnsi="Arial"/>
                <w:sz w:val="18"/>
                <w:szCs w:val="18"/>
                <w:color w:val="auto"/>
              </w:rPr>
              <w:t>By:</w:t>
            </w:r>
          </w:p>
        </w:tc>
        <w:tc>
          <w:tcPr>
            <w:tcW w:w="4880" w:type="dxa"/>
            <w:vAlign w:val="bottom"/>
            <w:gridSpan w:val="2"/>
          </w:tcPr>
          <w:p>
            <w:pPr>
              <w:spacing w:after="0"/>
              <w:rPr>
                <w:sz w:val="20"/>
                <w:szCs w:val="20"/>
                <w:color w:val="auto"/>
              </w:rPr>
            </w:pPr>
            <w:r>
              <w:rPr>
                <w:rFonts w:ascii="Arial" w:cs="Arial" w:eastAsia="Arial" w:hAnsi="Arial"/>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6540" w:type="dxa"/>
            <w:vAlign w:val="bottom"/>
          </w:tcPr>
          <w:p>
            <w:pPr>
              <w:ind w:left="5960"/>
              <w:spacing w:after="0"/>
              <w:rPr>
                <w:sz w:val="20"/>
                <w:szCs w:val="20"/>
                <w:color w:val="auto"/>
              </w:rPr>
            </w:pPr>
            <w:r>
              <w:rPr>
                <w:rFonts w:ascii="Arial" w:cs="Arial" w:eastAsia="Arial" w:hAnsi="Arial"/>
                <w:sz w:val="18"/>
                <w:szCs w:val="18"/>
                <w:color w:val="auto"/>
              </w:rPr>
              <w:t>By:</w:t>
            </w:r>
          </w:p>
        </w:tc>
        <w:tc>
          <w:tcPr>
            <w:tcW w:w="4880" w:type="dxa"/>
            <w:vAlign w:val="bottom"/>
            <w:gridSpan w:val="2"/>
          </w:tcPr>
          <w:p>
            <w:pPr>
              <w:spacing w:after="0"/>
              <w:rPr>
                <w:sz w:val="20"/>
                <w:szCs w:val="20"/>
                <w:color w:val="auto"/>
              </w:rPr>
            </w:pPr>
            <w:r>
              <w:rPr>
                <w:rFonts w:ascii="Arial" w:cs="Arial" w:eastAsia="Arial" w:hAnsi="Arial"/>
                <w:sz w:val="18"/>
                <w:szCs w:val="18"/>
                <w:color w:val="auto"/>
              </w:rPr>
              <w:t>/s/ Carl L. Gordon</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Carl L. Gordon</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0" w:type="dxa"/>
            <w:vAlign w:val="bottom"/>
          </w:tcPr>
          <w:p>
            <w:pPr>
              <w:spacing w:after="0"/>
              <w:rPr>
                <w:sz w:val="1"/>
                <w:szCs w:val="1"/>
                <w:color w:val="auto"/>
              </w:rPr>
            </w:pPr>
          </w:p>
        </w:tc>
      </w:tr>
      <w:tr>
        <w:trPr>
          <w:trHeight w:val="1020"/>
        </w:trPr>
        <w:tc>
          <w:tcPr>
            <w:tcW w:w="65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lvl w:ilvl="1">
      <w:lvlJc w:val="left"/>
      <w:lvlText w:val="(%2)"/>
      <w:numFmt w:val="lowerLetter"/>
      <w:start w:val="2"/>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2019-11-28T00:04:27Z</dcterms:created>
  <dcterms:modified xsi:type="dcterms:W3CDTF">2019-11-28T00:04:27Z</dcterms:modified>
</cp:coreProperties>
</file>