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531116d1_8k.htm"/>
      <w:bookmarkStart w:id="1" w:name="kstm2531116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7_edei--DocumentType_c2025111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November 13,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C_edei--EntityRegistrantName_c2025"/>
      <w:bookmarkEnd w:id="4"/>
      <w:r>
        <w:rPr>
          <w:rFonts w:ascii="Times New Roman;Times;Serif" w:hAnsi="Times New Roman;Times;Serif"/>
          <w:b/>
          <w:i w:val="false"/>
          <w:caps w:val="false"/>
          <w:smallCaps w:val="false"/>
          <w:sz w:val="48"/>
        </w:rPr>
        <w:t>TELA Bio,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925" w:type="dxa"/>
        <w:jc w:val="left"/>
        <w:tblInd w:w="0" w:type="dxa"/>
        <w:tblLayout w:type="fixed"/>
        <w:tblCellMar>
          <w:top w:w="0" w:type="dxa"/>
          <w:left w:w="0" w:type="dxa"/>
          <w:bottom w:w="0" w:type="dxa"/>
          <w:right w:w="0" w:type="dxa"/>
        </w:tblCellMar>
      </w:tblPr>
      <w:tblGrid>
        <w:gridCol w:w="2735"/>
        <w:gridCol w:w="60"/>
        <w:gridCol w:w="1295"/>
        <w:gridCol w:w="60"/>
        <w:gridCol w:w="1775"/>
      </w:tblGrid>
      <w:tr>
        <w:trPr/>
        <w:tc>
          <w:tcPr>
            <w:tcW w:w="2735" w:type="dxa"/>
            <w:tcBorders/>
            <w:vAlign w:val="center"/>
          </w:tcPr>
          <w:p>
            <w:pPr>
              <w:pStyle w:val="TableContents"/>
              <w:bidi w:val="0"/>
              <w:spacing w:before="0" w:after="283"/>
              <w:jc w:val="center"/>
              <w:rPr>
                <w:b/>
                <w:sz w:val="20"/>
              </w:rPr>
            </w:pPr>
            <w:bookmarkStart w:id="5" w:name="xdx_901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b/>
                <w:sz w:val="20"/>
              </w:rPr>
            </w:pPr>
            <w:bookmarkStart w:id="6" w:name="xdx_90F_edei--EntityFileNumber_c20251113"/>
            <w:bookmarkEnd w:id="6"/>
            <w:r>
              <w:rPr>
                <w:b/>
                <w:sz w:val="20"/>
              </w:rPr>
              <w:t>001-39130</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sz w:val="20"/>
              </w:rPr>
            </w:pPr>
            <w:bookmarkStart w:id="7" w:name="xdx_90A_edei--EntityTaxIdentificationNum"/>
            <w:bookmarkEnd w:id="7"/>
            <w:r>
              <w:rPr>
                <w:b/>
                <w:sz w:val="20"/>
              </w:rPr>
              <w:t>45-5320061</w:t>
            </w:r>
          </w:p>
        </w:tc>
      </w:tr>
      <w:tr>
        <w:trPr/>
        <w:tc>
          <w:tcPr>
            <w:tcW w:w="2735" w:type="dxa"/>
            <w:tcBorders/>
            <w:vAlign w:val="center"/>
          </w:tcPr>
          <w:p>
            <w:pPr>
              <w:pStyle w:val="TableContents"/>
              <w:bidi w:val="0"/>
              <w:spacing w:before="0" w:after="283"/>
              <w:jc w:val="center"/>
              <w:rPr/>
            </w:pPr>
            <w:r>
              <w:rPr/>
              <w:t>(State or other jurisdiction of</w:t>
              <w:br/>
              <w:t>incorporation)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(Commission</w:t>
              <w:br/>
              <w:t>File 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br/>
              <w:t>Identification No.)</w:t>
            </w:r>
          </w:p>
        </w:tc>
      </w:tr>
    </w:tbl>
    <w:p>
      <w:pPr>
        <w:pStyle w:val="TextBody"/>
        <w:bidi w:val="0"/>
        <w:spacing w:before="0" w:after="283"/>
        <w:jc w:val="left"/>
        <w:rPr/>
      </w:pPr>
      <w:r>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 xml:space="preserve">1 Great Valley Parkway, </w:t>
            </w:r>
            <w:bookmarkStart w:id="9" w:name="xdx_905_edei--EntityAddressAddressLine2_"/>
            <w:bookmarkEnd w:id="9"/>
            <w:r>
              <w:rPr>
                <w:rFonts w:ascii="Times New Roman;Times;Serif" w:hAnsi="Times New Roman;Times;Serif"/>
                <w:b/>
                <w:i w:val="false"/>
                <w:caps w:val="false"/>
                <w:smallCaps w:val="false"/>
                <w:sz w:val="20"/>
              </w:rPr>
              <w:t>Suite 24</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E_edei--EntityAddressCityOrTown_c2"/>
            <w:bookmarkEnd w:id="10"/>
            <w:r>
              <w:rPr>
                <w:rFonts w:ascii="Times New Roman;Times;Serif" w:hAnsi="Times New Roman;Times;Serif"/>
                <w:b/>
                <w:i w:val="false"/>
                <w:caps w:val="false"/>
                <w:smallCaps w:val="false"/>
                <w:sz w:val="20"/>
              </w:rPr>
              <w:t xml:space="preserve">Malvern, </w:t>
            </w:r>
            <w:bookmarkStart w:id="11" w:name="xdx_90F_edei--EntityAddressStateOrProvin"/>
            <w:bookmarkEnd w:id="11"/>
            <w:r>
              <w:rPr>
                <w:rFonts w:ascii="Times New Roman;Times;Serif" w:hAnsi="Times New Roman;Times;Serif"/>
                <w:b/>
                <w:i w:val="false"/>
                <w:caps w:val="false"/>
                <w:smallCaps w:val="false"/>
                <w:sz w:val="20"/>
              </w:rPr>
              <w:t>Pennsylvania</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sz w:val="20"/>
              </w:rPr>
            </w:pPr>
            <w:bookmarkStart w:id="12" w:name="xdx_908_edei--EntityAddressPostalZipCode"/>
            <w:bookmarkEnd w:id="12"/>
            <w:r>
              <w:rPr>
                <w:b/>
                <w:sz w:val="20"/>
              </w:rPr>
              <w:t>19355</w:t>
            </w:r>
          </w:p>
        </w:tc>
      </w:tr>
      <w:tr>
        <w:trPr/>
        <w:tc>
          <w:tcPr>
            <w:tcW w:w="321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7_edei--CityAreaCode_c20251113__20"/>
      <w:bookmarkEnd w:id="13"/>
      <w:r>
        <w:rPr>
          <w:rFonts w:ascii="Times New Roman;Times;Serif" w:hAnsi="Times New Roman;Times;Serif"/>
          <w:b/>
          <w:i w:val="false"/>
          <w:caps w:val="false"/>
          <w:smallCaps w:val="false"/>
          <w:sz w:val="20"/>
        </w:rPr>
        <w:t xml:space="preserve">484) </w:t>
      </w:r>
      <w:bookmarkStart w:id="14" w:name="xdx_904_edei--LocalPhoneNumber_c20251113"/>
      <w:bookmarkEnd w:id="14"/>
      <w:r>
        <w:rPr>
          <w:rFonts w:ascii="Times New Roman;Times;Serif" w:hAnsi="Times New Roman;Times;Serif"/>
          <w:b/>
          <w:i w:val="false"/>
          <w:caps w:val="false"/>
          <w:smallCaps w:val="false"/>
          <w:sz w:val="20"/>
        </w:rPr>
        <w:t>320-2930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shd w:fill="FEFEFE" w:val="clear"/>
            <w:vAlign w:val="center"/>
          </w:tcPr>
          <w:p>
            <w:pPr>
              <w:pStyle w:val="TableContents"/>
              <w:bidi w:val="0"/>
              <w:spacing w:before="0" w:after="283"/>
              <w:jc w:val="left"/>
              <w:rPr/>
            </w:pPr>
            <w:bookmarkStart w:id="15" w:name="xdx_90D_edei--WrittenCommunications_c202"/>
            <w:bookmarkEnd w:id="15"/>
            <w:r>
              <w:rPr/>
              <w:t>☐</w:t>
            </w:r>
          </w:p>
        </w:tc>
        <w:tc>
          <w:tcPr>
            <w:tcW w:w="9065" w:type="dxa"/>
            <w:tcBorders/>
            <w:shd w:fill="FEFEFE" w:val="clear"/>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shd w:fill="FEFEFE" w:val="clear"/>
            <w:vAlign w:val="center"/>
          </w:tcPr>
          <w:p>
            <w:pPr>
              <w:pStyle w:val="TableContents"/>
              <w:bidi w:val="0"/>
              <w:spacing w:before="0" w:after="283"/>
              <w:jc w:val="left"/>
              <w:rPr/>
            </w:pPr>
            <w:r>
              <w:rPr/>
              <w:t> </w:t>
            </w:r>
          </w:p>
        </w:tc>
        <w:tc>
          <w:tcPr>
            <w:tcW w:w="9065" w:type="dxa"/>
            <w:tcBorders/>
            <w:shd w:fill="FEFEFE" w:val="clear"/>
            <w:vAlign w:val="center"/>
          </w:tcPr>
          <w:p>
            <w:pPr>
              <w:pStyle w:val="TableContents"/>
              <w:bidi w:val="0"/>
              <w:spacing w:before="0" w:after="283"/>
              <w:jc w:val="left"/>
              <w:rPr/>
            </w:pPr>
            <w:r>
              <w:rPr/>
              <w:t> </w:t>
            </w:r>
          </w:p>
        </w:tc>
      </w:tr>
      <w:tr>
        <w:trPr/>
        <w:tc>
          <w:tcPr>
            <w:tcW w:w="245" w:type="dxa"/>
            <w:tcBorders/>
            <w:shd w:fill="FEFEFE" w:val="clear"/>
            <w:vAlign w:val="center"/>
          </w:tcPr>
          <w:p>
            <w:pPr>
              <w:pStyle w:val="TableContents"/>
              <w:bidi w:val="0"/>
              <w:spacing w:before="0" w:after="283"/>
              <w:jc w:val="left"/>
              <w:rPr/>
            </w:pPr>
            <w:bookmarkStart w:id="16" w:name="xdx_903_edei--SolicitingMaterial_c202511"/>
            <w:bookmarkEnd w:id="16"/>
            <w:r>
              <w:rPr/>
              <w:t>☐</w:t>
            </w:r>
          </w:p>
        </w:tc>
        <w:tc>
          <w:tcPr>
            <w:tcW w:w="9065" w:type="dxa"/>
            <w:tcBorders/>
            <w:shd w:fill="FEFEFE" w:val="clear"/>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shd w:fill="FEFEFE" w:val="clear"/>
            <w:vAlign w:val="center"/>
          </w:tcPr>
          <w:p>
            <w:pPr>
              <w:pStyle w:val="TableContents"/>
              <w:bidi w:val="0"/>
              <w:spacing w:before="0" w:after="283"/>
              <w:jc w:val="left"/>
              <w:rPr/>
            </w:pPr>
            <w:r>
              <w:rPr/>
              <w:t> </w:t>
            </w:r>
          </w:p>
        </w:tc>
        <w:tc>
          <w:tcPr>
            <w:tcW w:w="9065" w:type="dxa"/>
            <w:tcBorders/>
            <w:shd w:fill="FEFEFE" w:val="clear"/>
            <w:vAlign w:val="center"/>
          </w:tcPr>
          <w:p>
            <w:pPr>
              <w:pStyle w:val="TableContents"/>
              <w:bidi w:val="0"/>
              <w:spacing w:before="0" w:after="283"/>
              <w:jc w:val="left"/>
              <w:rPr/>
            </w:pPr>
            <w:r>
              <w:rPr/>
              <w:t> </w:t>
            </w:r>
          </w:p>
        </w:tc>
      </w:tr>
      <w:tr>
        <w:trPr/>
        <w:tc>
          <w:tcPr>
            <w:tcW w:w="245" w:type="dxa"/>
            <w:tcBorders/>
            <w:shd w:fill="FEFEFE" w:val="clear"/>
            <w:vAlign w:val="center"/>
          </w:tcPr>
          <w:p>
            <w:pPr>
              <w:pStyle w:val="TableContents"/>
              <w:bidi w:val="0"/>
              <w:spacing w:before="0" w:after="283"/>
              <w:jc w:val="left"/>
              <w:rPr/>
            </w:pPr>
            <w:bookmarkStart w:id="17" w:name="xdx_904_edei--PreCommencementTenderOffer"/>
            <w:bookmarkEnd w:id="17"/>
            <w:r>
              <w:rPr/>
              <w:t>☐</w:t>
            </w:r>
          </w:p>
        </w:tc>
        <w:tc>
          <w:tcPr>
            <w:tcW w:w="9065" w:type="dxa"/>
            <w:tcBorders/>
            <w:shd w:fill="FEFEFE" w:val="clear"/>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shd w:fill="FEFEFE" w:val="clear"/>
            <w:vAlign w:val="center"/>
          </w:tcPr>
          <w:p>
            <w:pPr>
              <w:pStyle w:val="TableContents"/>
              <w:bidi w:val="0"/>
              <w:spacing w:before="0" w:after="283"/>
              <w:jc w:val="left"/>
              <w:rPr/>
            </w:pPr>
            <w:r>
              <w:rPr/>
              <w:t> </w:t>
            </w:r>
          </w:p>
        </w:tc>
        <w:tc>
          <w:tcPr>
            <w:tcW w:w="9065" w:type="dxa"/>
            <w:tcBorders/>
            <w:shd w:fill="FEFEFE" w:val="clear"/>
            <w:vAlign w:val="center"/>
          </w:tcPr>
          <w:p>
            <w:pPr>
              <w:pStyle w:val="TableContents"/>
              <w:bidi w:val="0"/>
              <w:spacing w:before="0" w:after="283"/>
              <w:jc w:val="left"/>
              <w:rPr/>
            </w:pPr>
            <w:r>
              <w:rPr/>
              <w:t> </w:t>
            </w:r>
          </w:p>
        </w:tc>
      </w:tr>
      <w:tr>
        <w:trPr/>
        <w:tc>
          <w:tcPr>
            <w:tcW w:w="245" w:type="dxa"/>
            <w:tcBorders/>
            <w:shd w:fill="FEFEFE" w:val="clear"/>
            <w:vAlign w:val="center"/>
          </w:tcPr>
          <w:p>
            <w:pPr>
              <w:pStyle w:val="TableContents"/>
              <w:bidi w:val="0"/>
              <w:spacing w:before="0" w:after="283"/>
              <w:jc w:val="left"/>
              <w:rPr/>
            </w:pPr>
            <w:bookmarkStart w:id="18" w:name="xdx_900_edei--PreCommencementIssuerTende"/>
            <w:bookmarkEnd w:id="18"/>
            <w:r>
              <w:rPr/>
              <w:t>☐</w:t>
            </w:r>
          </w:p>
        </w:tc>
        <w:tc>
          <w:tcPr>
            <w:tcW w:w="9065" w:type="dxa"/>
            <w:tcBorders/>
            <w:shd w:fill="FEFEFE" w:val="clear"/>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050" w:type="dxa"/>
        <w:jc w:val="left"/>
        <w:tblInd w:w="0" w:type="dxa"/>
        <w:tblLayout w:type="fixed"/>
        <w:tblCellMar>
          <w:top w:w="0" w:type="dxa"/>
          <w:left w:w="0" w:type="dxa"/>
          <w:bottom w:w="0" w:type="dxa"/>
          <w:right w:w="0" w:type="dxa"/>
        </w:tblCellMar>
      </w:tblPr>
      <w:tblGrid>
        <w:gridCol w:w="4430"/>
        <w:gridCol w:w="60"/>
        <w:gridCol w:w="1025"/>
        <w:gridCol w:w="60"/>
        <w:gridCol w:w="4475"/>
      </w:tblGrid>
      <w:tr>
        <w:trPr/>
        <w:tc>
          <w:tcPr>
            <w:tcW w:w="4430" w:type="dxa"/>
            <w:tcBorders/>
            <w:vAlign w:val="center"/>
          </w:tcPr>
          <w:p>
            <w:pPr>
              <w:pStyle w:val="TableContents"/>
              <w:bidi w:val="0"/>
              <w:spacing w:before="0" w:after="283"/>
              <w:jc w:val="center"/>
              <w:rPr>
                <w:b/>
                <w:u w:val="single"/>
              </w:rPr>
            </w:pPr>
            <w:r>
              <w:rPr>
                <w:b/>
                <w:u w:val="single"/>
              </w:rPr>
              <w:t>Title of each class</w:t>
            </w:r>
          </w:p>
        </w:tc>
        <w:tc>
          <w:tcPr>
            <w:tcW w:w="60" w:type="dxa"/>
            <w:tcBorders/>
            <w:vAlign w:val="center"/>
          </w:tcPr>
          <w:p>
            <w:pPr>
              <w:pStyle w:val="TableContents"/>
              <w:bidi w:val="0"/>
              <w:spacing w:before="0" w:after="283"/>
              <w:jc w:val="center"/>
              <w:rPr/>
            </w:pPr>
            <w:r>
              <w:rPr/>
              <w:t> </w:t>
            </w:r>
          </w:p>
        </w:tc>
        <w:tc>
          <w:tcPr>
            <w:tcW w:w="1025" w:type="dxa"/>
            <w:tcBorders/>
            <w:vAlign w:val="center"/>
          </w:tcPr>
          <w:p>
            <w:pPr>
              <w:pStyle w:val="TableContents"/>
              <w:bidi w:val="0"/>
              <w:spacing w:before="0" w:after="283"/>
              <w:jc w:val="center"/>
              <w:rPr>
                <w:b/>
                <w:u w:val="single"/>
              </w:rPr>
            </w:pPr>
            <w:r>
              <w:rPr>
                <w:b/>
                <w:u w:val="single"/>
              </w:rPr>
              <w:t xml:space="preserve">Trading </w:t>
              <w:br/>
              <w:t>Symbol(s)</w:t>
            </w:r>
          </w:p>
        </w:tc>
        <w:tc>
          <w:tcPr>
            <w:tcW w:w="60" w:type="dxa"/>
            <w:tcBorders/>
            <w:vAlign w:val="center"/>
          </w:tcPr>
          <w:p>
            <w:pPr>
              <w:pStyle w:val="TableContents"/>
              <w:bidi w:val="0"/>
              <w:spacing w:before="0" w:after="283"/>
              <w:jc w:val="center"/>
              <w:rPr/>
            </w:pPr>
            <w:r>
              <w:rPr/>
              <w:t> </w:t>
            </w:r>
          </w:p>
        </w:tc>
        <w:tc>
          <w:tcPr>
            <w:tcW w:w="4475" w:type="dxa"/>
            <w:tcBorders/>
            <w:vAlign w:val="center"/>
          </w:tcPr>
          <w:p>
            <w:pPr>
              <w:pStyle w:val="TableContents"/>
              <w:bidi w:val="0"/>
              <w:spacing w:before="0" w:after="283"/>
              <w:jc w:val="center"/>
              <w:rPr>
                <w:b/>
                <w:u w:val="single"/>
              </w:rPr>
            </w:pPr>
            <w:r>
              <w:rPr>
                <w:b/>
                <w:u w:val="single"/>
              </w:rPr>
              <w:t>Name of each exchange on which registered</w:t>
            </w:r>
          </w:p>
        </w:tc>
      </w:tr>
      <w:tr>
        <w:trPr/>
        <w:tc>
          <w:tcPr>
            <w:tcW w:w="4430" w:type="dxa"/>
            <w:tcBorders/>
            <w:vAlign w:val="center"/>
          </w:tcPr>
          <w:p>
            <w:pPr>
              <w:pStyle w:val="TableContents"/>
              <w:bidi w:val="0"/>
              <w:spacing w:before="0" w:after="283"/>
              <w:jc w:val="center"/>
              <w:rPr>
                <w:b/>
              </w:rPr>
            </w:pPr>
            <w:bookmarkStart w:id="19" w:name="xdx_906_edei--Security12bTitle_c20251113"/>
            <w:bookmarkEnd w:id="19"/>
            <w:r>
              <w:rPr>
                <w:b/>
              </w:rPr>
              <w:t>Common Stock, par value $0.001 per share</w:t>
            </w:r>
          </w:p>
        </w:tc>
        <w:tc>
          <w:tcPr>
            <w:tcW w:w="60" w:type="dxa"/>
            <w:tcBorders/>
            <w:vAlign w:val="center"/>
          </w:tcPr>
          <w:p>
            <w:pPr>
              <w:pStyle w:val="TableContents"/>
              <w:bidi w:val="0"/>
              <w:spacing w:before="0" w:after="283"/>
              <w:jc w:val="center"/>
              <w:rPr/>
            </w:pPr>
            <w:r>
              <w:rPr/>
              <w:t> </w:t>
            </w:r>
          </w:p>
        </w:tc>
        <w:tc>
          <w:tcPr>
            <w:tcW w:w="1025" w:type="dxa"/>
            <w:tcBorders/>
            <w:vAlign w:val="center"/>
          </w:tcPr>
          <w:p>
            <w:pPr>
              <w:pStyle w:val="TableContents"/>
              <w:bidi w:val="0"/>
              <w:spacing w:before="0" w:after="283"/>
              <w:jc w:val="center"/>
              <w:rPr>
                <w:b/>
              </w:rPr>
            </w:pPr>
            <w:bookmarkStart w:id="20" w:name="xdx_904_edei--TradingSymbol_c20251113__2"/>
            <w:bookmarkEnd w:id="20"/>
            <w:r>
              <w:rPr>
                <w:b/>
              </w:rPr>
              <w:t>TELA</w:t>
            </w:r>
          </w:p>
        </w:tc>
        <w:tc>
          <w:tcPr>
            <w:tcW w:w="60" w:type="dxa"/>
            <w:tcBorders/>
            <w:vAlign w:val="center"/>
          </w:tcPr>
          <w:p>
            <w:pPr>
              <w:pStyle w:val="TableContents"/>
              <w:bidi w:val="0"/>
              <w:spacing w:before="0" w:after="283"/>
              <w:jc w:val="center"/>
              <w:rPr/>
            </w:pPr>
            <w:r>
              <w:rPr/>
              <w:t> </w:t>
            </w:r>
          </w:p>
        </w:tc>
        <w:tc>
          <w:tcPr>
            <w:tcW w:w="4475" w:type="dxa"/>
            <w:tcBorders/>
            <w:vAlign w:val="center"/>
          </w:tcPr>
          <w:p>
            <w:pPr>
              <w:pStyle w:val="TableContents"/>
              <w:bidi w:val="0"/>
              <w:spacing w:before="0" w:after="283"/>
              <w:jc w:val="center"/>
              <w:rPr>
                <w:b/>
              </w:rPr>
            </w:pPr>
            <w:bookmarkStart w:id="21" w:name="xdx_903_edei--SecurityExchangeName_c2025"/>
            <w:bookmarkEnd w:id="21"/>
            <w:r>
              <w:rPr>
                <w:b/>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C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830"/>
        <w:gridCol w:w="398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2.02</w:t>
            </w:r>
          </w:p>
        </w:tc>
        <w:tc>
          <w:tcPr>
            <w:tcW w:w="39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13, 2025, TELA Bio,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issued a press release announcing its financial results for the third quarter ended September 30, 2025. A copy of this press release is furnished as Exhibit 99.1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pursuant to this Item 2.02, including Exhibit 99.1, shall not be deemed “filed” for purposes of Section 18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or otherwise subject to the liabilities of that section, and shall not be deemed to be incorporated by reference in any filing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22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13, 2025, the Company updated information reflected in a corporate slide deck, which representatives of the Company will use in various meetings with investors from time to time. A copy of the presentation is attached hereto as Exhibit 99.2,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pursuant to Item 7.01, including Exhibit 99.2, shall not be deemed “filed” for purposes of Section 18 of the Exchange Act or otherwise subject to the liabilities of that section, and shall not be deemed to be incorporated by reference in any filing under the Securities Act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being furnished herewith:</w:t>
      </w:r>
    </w:p>
    <w:p>
      <w:pPr>
        <w:pStyle w:val="TextBody"/>
        <w:bidi w:val="0"/>
        <w:spacing w:before="0" w:after="0"/>
        <w:ind w:left="0" w:right="0" w:hanging="0"/>
        <w:jc w:val="left"/>
        <w:rPr>
          <w:caps w:val="false"/>
          <w:smallCaps w:val="false"/>
        </w:rPr>
      </w:pPr>
      <w:r>
        <w:rPr>
          <w:caps w:val="false"/>
          <w:smallCaps w:val="false"/>
        </w:rPr>
        <w:t> </w:t>
      </w:r>
    </w:p>
    <w:tbl>
      <w:tblPr>
        <w:tblW w:w="7795" w:type="dxa"/>
        <w:jc w:val="left"/>
        <w:tblInd w:w="0" w:type="dxa"/>
        <w:tblLayout w:type="fixed"/>
        <w:tblCellMar>
          <w:top w:w="0" w:type="dxa"/>
          <w:left w:w="0" w:type="dxa"/>
          <w:bottom w:w="28" w:type="dxa"/>
          <w:right w:w="0" w:type="dxa"/>
        </w:tblCellMar>
      </w:tblPr>
      <w:tblGrid>
        <w:gridCol w:w="1205"/>
        <w:gridCol w:w="60"/>
        <w:gridCol w:w="6530"/>
      </w:tblGrid>
      <w:tr>
        <w:trPr/>
        <w:tc>
          <w:tcPr>
            <w:tcW w:w="1205" w:type="dxa"/>
            <w:tcBorders>
              <w:bottom w:val="single" w:sz="8" w:space="0" w:color="000000"/>
            </w:tcBorders>
            <w:shd w:fill="FEFEFE" w:val="clear"/>
            <w:vAlign w:val="center"/>
          </w:tcPr>
          <w:p>
            <w:pPr>
              <w:pStyle w:val="TableContents"/>
              <w:bidi w:val="0"/>
              <w:spacing w:before="0" w:after="283"/>
              <w:jc w:val="left"/>
              <w:rPr>
                <w:b/>
              </w:rPr>
            </w:pPr>
            <w:r>
              <w:rPr>
                <w:b/>
              </w:rPr>
              <w:t>Exhibit No.</w:t>
            </w:r>
          </w:p>
        </w:tc>
        <w:tc>
          <w:tcPr>
            <w:tcW w:w="60" w:type="dxa"/>
            <w:tcBorders/>
            <w:shd w:fill="FEFEFE" w:val="clear"/>
            <w:tcMar>
              <w:bottom w:w="0" w:type="dxa"/>
            </w:tcMar>
            <w:vAlign w:val="center"/>
          </w:tcPr>
          <w:p>
            <w:pPr>
              <w:pStyle w:val="TableContents"/>
              <w:bidi w:val="0"/>
              <w:spacing w:before="0" w:after="283"/>
              <w:jc w:val="left"/>
              <w:rPr/>
            </w:pPr>
            <w:r>
              <w:rPr/>
              <w:t> </w:t>
            </w:r>
          </w:p>
        </w:tc>
        <w:tc>
          <w:tcPr>
            <w:tcW w:w="6530" w:type="dxa"/>
            <w:tcBorders>
              <w:bottom w:val="single" w:sz="8" w:space="0" w:color="000000"/>
            </w:tcBorders>
            <w:shd w:fill="FEFEFE" w:val="clear"/>
            <w:vAlign w:val="center"/>
          </w:tcPr>
          <w:p>
            <w:pPr>
              <w:pStyle w:val="TableContents"/>
              <w:bidi w:val="0"/>
              <w:spacing w:before="0" w:after="283"/>
              <w:jc w:val="left"/>
              <w:rPr>
                <w:b/>
              </w:rPr>
            </w:pPr>
            <w:r>
              <w:rPr>
                <w:b/>
              </w:rPr>
              <w:t>Document</w:t>
            </w:r>
          </w:p>
        </w:tc>
      </w:tr>
      <w:tr>
        <w:trPr/>
        <w:tc>
          <w:tcPr>
            <w:tcW w:w="1205" w:type="dxa"/>
            <w:tcBorders/>
            <w:shd w:fill="FEFEFE" w:val="clear"/>
            <w:tcMar>
              <w:bottom w:w="0" w:type="dxa"/>
            </w:tcMar>
            <w:vAlign w:val="center"/>
          </w:tcPr>
          <w:p>
            <w:pPr>
              <w:pStyle w:val="TableContents"/>
              <w:bidi w:val="0"/>
              <w:spacing w:before="0" w:after="283"/>
              <w:jc w:val="left"/>
              <w:rPr/>
            </w:pPr>
            <w:hyperlink w:anchor="tm2531116d1_ex99-1.htm">
              <w:r>
                <w:rPr>
                  <w:rStyle w:val="InternetLink"/>
                  <w:rFonts w:ascii="Times New Roman;Times;Serif" w:hAnsi="Times New Roman;Times;Serif"/>
                  <w:sz w:val="20"/>
                </w:rPr>
                <w:t>99.1</w:t>
              </w:r>
            </w:hyperlink>
          </w:p>
        </w:tc>
        <w:tc>
          <w:tcPr>
            <w:tcW w:w="60" w:type="dxa"/>
            <w:tcBorders/>
            <w:shd w:fill="FEFEFE" w:val="clear"/>
            <w:tcMar>
              <w:bottom w:w="0" w:type="dxa"/>
            </w:tcMar>
            <w:vAlign w:val="center"/>
          </w:tcPr>
          <w:p>
            <w:pPr>
              <w:pStyle w:val="TableContents"/>
              <w:bidi w:val="0"/>
              <w:spacing w:before="0" w:after="283"/>
              <w:jc w:val="left"/>
              <w:rPr/>
            </w:pPr>
            <w:r>
              <w:rPr/>
              <w:t> </w:t>
            </w:r>
          </w:p>
        </w:tc>
        <w:tc>
          <w:tcPr>
            <w:tcW w:w="6530" w:type="dxa"/>
            <w:tcBorders/>
            <w:shd w:fill="FEFEFE" w:val="clear"/>
            <w:tcMar>
              <w:bottom w:w="0" w:type="dxa"/>
            </w:tcMar>
            <w:vAlign w:val="center"/>
          </w:tcPr>
          <w:p>
            <w:pPr>
              <w:pStyle w:val="TableContents"/>
              <w:bidi w:val="0"/>
              <w:spacing w:before="0" w:after="283"/>
              <w:jc w:val="left"/>
              <w:rPr/>
            </w:pPr>
            <w:hyperlink w:anchor="tm2531116d1_ex99-1.htm">
              <w:r>
                <w:rPr>
                  <w:rStyle w:val="InternetLink"/>
                  <w:rFonts w:ascii="Times New Roman;Times;Serif" w:hAnsi="Times New Roman;Times;Serif"/>
                  <w:sz w:val="20"/>
                </w:rPr>
                <w:t>Press Release of TELA Bio, Inc., dated November 13, 2025.</w:t>
              </w:r>
            </w:hyperlink>
          </w:p>
        </w:tc>
      </w:tr>
      <w:tr>
        <w:trPr/>
        <w:tc>
          <w:tcPr>
            <w:tcW w:w="1205" w:type="dxa"/>
            <w:tcBorders/>
            <w:shd w:fill="FEFEFE" w:val="clear"/>
            <w:tcMar>
              <w:bottom w:w="0" w:type="dxa"/>
            </w:tcMar>
            <w:vAlign w:val="center"/>
          </w:tcPr>
          <w:p>
            <w:pPr>
              <w:pStyle w:val="TableContents"/>
              <w:bidi w:val="0"/>
              <w:spacing w:before="0" w:after="283"/>
              <w:jc w:val="left"/>
              <w:rPr/>
            </w:pPr>
            <w:hyperlink w:anchor="tm2531116d1_ex99-2.htm">
              <w:r>
                <w:rPr>
                  <w:rStyle w:val="InternetLink"/>
                  <w:rFonts w:ascii="Times New Roman;Times;Serif" w:hAnsi="Times New Roman;Times;Serif"/>
                  <w:sz w:val="20"/>
                </w:rPr>
                <w:t>99.2</w:t>
              </w:r>
            </w:hyperlink>
          </w:p>
        </w:tc>
        <w:tc>
          <w:tcPr>
            <w:tcW w:w="60" w:type="dxa"/>
            <w:tcBorders/>
            <w:shd w:fill="FEFEFE" w:val="clear"/>
            <w:tcMar>
              <w:bottom w:w="0" w:type="dxa"/>
            </w:tcMar>
            <w:vAlign w:val="center"/>
          </w:tcPr>
          <w:p>
            <w:pPr>
              <w:pStyle w:val="TableContents"/>
              <w:bidi w:val="0"/>
              <w:spacing w:before="0" w:after="283"/>
              <w:jc w:val="left"/>
              <w:rPr/>
            </w:pPr>
            <w:r>
              <w:rPr/>
              <w:t> </w:t>
            </w:r>
          </w:p>
        </w:tc>
        <w:tc>
          <w:tcPr>
            <w:tcW w:w="6530" w:type="dxa"/>
            <w:tcBorders/>
            <w:shd w:fill="FEFEFE" w:val="clear"/>
            <w:tcMar>
              <w:bottom w:w="0" w:type="dxa"/>
            </w:tcMar>
            <w:vAlign w:val="center"/>
          </w:tcPr>
          <w:p>
            <w:pPr>
              <w:pStyle w:val="TableContents"/>
              <w:bidi w:val="0"/>
              <w:spacing w:before="0" w:after="283"/>
              <w:jc w:val="left"/>
              <w:rPr/>
            </w:pPr>
            <w:hyperlink w:anchor="tm2531116d1_ex99-2.htm">
              <w:r>
                <w:rPr>
                  <w:rStyle w:val="InternetLink"/>
                  <w:rFonts w:ascii="Times New Roman;Times;Serif" w:hAnsi="Times New Roman;Times;Serif"/>
                  <w:sz w:val="20"/>
                </w:rPr>
                <w:t>Corporate Slide Deck, dated November 13, 2025.</w:t>
              </w:r>
            </w:hyperlink>
          </w:p>
        </w:tc>
      </w:tr>
      <w:tr>
        <w:trPr/>
        <w:tc>
          <w:tcPr>
            <w:tcW w:w="1205" w:type="dxa"/>
            <w:tcBorders/>
            <w:shd w:fill="FEFEFE"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EFEFE" w:val="clear"/>
            <w:tcMar>
              <w:bottom w:w="0" w:type="dxa"/>
            </w:tcMar>
            <w:vAlign w:val="center"/>
          </w:tcPr>
          <w:p>
            <w:pPr>
              <w:pStyle w:val="TableContents"/>
              <w:bidi w:val="0"/>
              <w:spacing w:before="0" w:after="283"/>
              <w:jc w:val="left"/>
              <w:rPr/>
            </w:pPr>
            <w:r>
              <w:rPr/>
              <w:t> </w:t>
            </w:r>
          </w:p>
        </w:tc>
        <w:tc>
          <w:tcPr>
            <w:tcW w:w="6530" w:type="dxa"/>
            <w:tcBorders/>
            <w:shd w:fill="FEFEFE"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75"/>
        <w:gridCol w:w="545"/>
        <w:gridCol w:w="3035"/>
      </w:tblGrid>
      <w:tr>
        <w:trPr/>
        <w:tc>
          <w:tcPr>
            <w:tcW w:w="75" w:type="dxa"/>
            <w:tcBorders/>
            <w:vAlign w:val="center"/>
          </w:tcPr>
          <w:p>
            <w:pPr>
              <w:pStyle w:val="TableContents"/>
              <w:bidi w:val="0"/>
              <w:spacing w:before="0" w:after="283"/>
              <w:jc w:val="left"/>
              <w:rPr/>
            </w:pPr>
            <w:r>
              <w:rPr/>
              <w:t> </w:t>
            </w:r>
          </w:p>
        </w:tc>
        <w:tc>
          <w:tcPr>
            <w:tcW w:w="358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TELA BIO, INC.</w:t>
            </w:r>
          </w:p>
        </w:tc>
      </w:tr>
      <w:tr>
        <w:trPr/>
        <w:tc>
          <w:tcPr>
            <w:tcW w:w="75" w:type="dxa"/>
            <w:tcBorders/>
            <w:vAlign w:val="center"/>
          </w:tcPr>
          <w:p>
            <w:pPr>
              <w:pStyle w:val="TableContents"/>
              <w:bidi w:val="0"/>
              <w:spacing w:before="0" w:after="283"/>
              <w:jc w:val="left"/>
              <w:rPr/>
            </w:pPr>
            <w:r>
              <w:rPr/>
              <w:t> </w:t>
            </w:r>
          </w:p>
        </w:tc>
        <w:tc>
          <w:tcPr>
            <w:tcW w:w="358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Antony Koblish</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Name:</w:t>
            </w:r>
          </w:p>
        </w:tc>
        <w:tc>
          <w:tcPr>
            <w:tcW w:w="303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Antony Koblish</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Title:</w:t>
            </w:r>
          </w:p>
        </w:tc>
        <w:tc>
          <w:tcPr>
            <w:tcW w:w="303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Chief Executive Officer and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13,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531116d1_ex99-1.htm"/>
      <w:bookmarkStart w:id="24" w:name="kstm2531116d1_ex991"/>
      <w:bookmarkEnd w:id="23"/>
      <w:bookmarkEnd w:id="24"/>
      <w:r>
        <w:rPr/>
        <w:t> </w:t>
      </w:r>
      <w:r>
        <w:br w:type="page"/>
      </w:r>
    </w:p>
    <w:p>
      <w:pPr>
        <w:pStyle w:val="TextBody"/>
        <w:bidi w:val="0"/>
        <w:jc w:val="right"/>
        <w:rPr>
          <w:sz w:val="20"/>
        </w:rPr>
      </w:pPr>
      <w:r>
        <w:rPr>
          <w:b/>
          <w:sz w:val="20"/>
        </w:rPr>
        <w:t>Exhibit 99.1</w:t>
      </w:r>
      <w:r>
        <w:rPr>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305050"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05050" cy="6953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TELA Bio Reports Third Quarter 2025 Financial Results and Refinancing and Upsizing of Credit Facility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MALVERN, PA, November 13, 2025 -- TELA Bio, Inc. ("TELA Bio"), a commercial-stage medical technology company focused on providing innovative soft-tissue reconstruction solutions, today reported financial results for the third quarter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Quarter 2025 Financial Highlights</w:t>
      </w:r>
    </w:p>
    <w:p>
      <w:pPr>
        <w:pStyle w:val="TextBody"/>
        <w:bidi w:val="0"/>
        <w:spacing w:before="0" w:after="0"/>
        <w:ind w:left="0" w:right="0" w:hanging="0"/>
        <w:jc w:val="left"/>
        <w:rPr>
          <w:caps w:val="false"/>
          <w:smallCaps w:val="false"/>
        </w:rPr>
      </w:pPr>
      <w:r>
        <w:rPr>
          <w:caps w:val="false"/>
          <w:smallCaps w:val="false"/>
        </w:rPr>
        <w:t> </w:t>
      </w:r>
    </w:p>
    <w:tbl>
      <w:tblPr>
        <w:tblW w:w="5898" w:type="dxa"/>
        <w:jc w:val="left"/>
        <w:tblInd w:w="0" w:type="dxa"/>
        <w:shd w:fill="FFFFFF" w:val="clear"/>
        <w:tblLayout w:type="fixed"/>
        <w:tblCellMar>
          <w:top w:w="0" w:type="dxa"/>
          <w:left w:w="0" w:type="dxa"/>
          <w:bottom w:w="0" w:type="dxa"/>
          <w:right w:w="0" w:type="dxa"/>
        </w:tblCellMar>
      </w:tblPr>
      <w:tblGrid>
        <w:gridCol w:w="38"/>
        <w:gridCol w:w="95"/>
        <w:gridCol w:w="576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5765" w:type="dxa"/>
            <w:tcBorders/>
            <w:shd w:fill="FFFFFF" w:val="clear"/>
            <w:vAlign w:val="center"/>
          </w:tcPr>
          <w:p>
            <w:pPr>
              <w:pStyle w:val="TableContents"/>
              <w:bidi w:val="0"/>
              <w:spacing w:before="0" w:after="283"/>
              <w:jc w:val="left"/>
              <w:rPr>
                <w:sz w:val="20"/>
              </w:rPr>
            </w:pPr>
            <w:r>
              <w:rPr>
                <w:sz w:val="20"/>
              </w:rPr>
              <w:t>Revenue of $20.7 million, a 9% increase from the third quarter of 2024</w:t>
            </w:r>
          </w:p>
        </w:tc>
      </w:tr>
    </w:tbl>
    <w:tbl>
      <w:tblPr>
        <w:tblW w:w="6948" w:type="dxa"/>
        <w:jc w:val="left"/>
        <w:tblInd w:w="0" w:type="dxa"/>
        <w:shd w:fill="FFFFFF" w:val="clear"/>
        <w:tblLayout w:type="fixed"/>
        <w:tblCellMar>
          <w:top w:w="0" w:type="dxa"/>
          <w:left w:w="0" w:type="dxa"/>
          <w:bottom w:w="0" w:type="dxa"/>
          <w:right w:w="0" w:type="dxa"/>
        </w:tblCellMar>
      </w:tblPr>
      <w:tblGrid>
        <w:gridCol w:w="38"/>
        <w:gridCol w:w="95"/>
        <w:gridCol w:w="681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6815" w:type="dxa"/>
            <w:tcBorders/>
            <w:shd w:fill="FFFFFF" w:val="clear"/>
            <w:vAlign w:val="center"/>
          </w:tcPr>
          <w:p>
            <w:pPr>
              <w:pStyle w:val="TableContents"/>
              <w:bidi w:val="0"/>
              <w:spacing w:before="0" w:after="283"/>
              <w:jc w:val="left"/>
              <w:rPr>
                <w:sz w:val="20"/>
              </w:rPr>
            </w:pPr>
            <w:r>
              <w:rPr>
                <w:sz w:val="20"/>
              </w:rPr>
              <w:t>Revised full year 2025 revenue guidance of at least 16% growth over full year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Strategic Highlights</w:t>
      </w:r>
    </w:p>
    <w:p>
      <w:pPr>
        <w:pStyle w:val="TextBody"/>
        <w:bidi w:val="0"/>
        <w:spacing w:before="0" w:after="0"/>
        <w:ind w:left="0" w:right="0" w:hanging="0"/>
        <w:jc w:val="left"/>
        <w:rPr>
          <w:caps w:val="false"/>
          <w:smallCaps w:val="false"/>
        </w:rPr>
      </w:pPr>
      <w:r>
        <w:rPr>
          <w:caps w:val="false"/>
          <w:smallCaps w:val="false"/>
        </w:rPr>
        <w:t> </w:t>
      </w:r>
    </w:p>
    <w:tbl>
      <w:tblPr>
        <w:tblW w:w="8343" w:type="dxa"/>
        <w:jc w:val="left"/>
        <w:tblInd w:w="0" w:type="dxa"/>
        <w:shd w:fill="FFFFFF" w:val="clear"/>
        <w:tblLayout w:type="fixed"/>
        <w:tblCellMar>
          <w:top w:w="0" w:type="dxa"/>
          <w:left w:w="0" w:type="dxa"/>
          <w:bottom w:w="0" w:type="dxa"/>
          <w:right w:w="0" w:type="dxa"/>
        </w:tblCellMar>
      </w:tblPr>
      <w:tblGrid>
        <w:gridCol w:w="38"/>
        <w:gridCol w:w="95"/>
        <w:gridCol w:w="821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8210" w:type="dxa"/>
            <w:tcBorders/>
            <w:shd w:fill="FFFFFF" w:val="clear"/>
            <w:vAlign w:val="center"/>
          </w:tcPr>
          <w:p>
            <w:pPr>
              <w:pStyle w:val="TableContents"/>
              <w:bidi w:val="0"/>
              <w:spacing w:before="0" w:after="283"/>
              <w:jc w:val="left"/>
              <w:rPr>
                <w:sz w:val="20"/>
              </w:rPr>
            </w:pPr>
            <w:r>
              <w:rPr>
                <w:sz w:val="20"/>
              </w:rPr>
              <w:t>Strengthened capital position with a credit facility up to $70.0 million debt with Perceptive Advisors</w:t>
            </w:r>
          </w:p>
        </w:tc>
      </w:tr>
    </w:tbl>
    <w:tbl>
      <w:tblPr>
        <w:tblW w:w="7218" w:type="dxa"/>
        <w:jc w:val="left"/>
        <w:tblInd w:w="0" w:type="dxa"/>
        <w:tblLayout w:type="fixed"/>
        <w:tblCellMar>
          <w:top w:w="0" w:type="dxa"/>
          <w:left w:w="0" w:type="dxa"/>
          <w:bottom w:w="0" w:type="dxa"/>
          <w:right w:w="0" w:type="dxa"/>
        </w:tblCellMar>
      </w:tblPr>
      <w:tblGrid>
        <w:gridCol w:w="38"/>
        <w:gridCol w:w="95"/>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085" w:type="dxa"/>
            <w:tcBorders/>
            <w:vAlign w:val="center"/>
          </w:tcPr>
          <w:p>
            <w:pPr>
              <w:pStyle w:val="TableContents"/>
              <w:bidi w:val="0"/>
              <w:spacing w:before="0" w:after="283"/>
              <w:jc w:val="left"/>
              <w:rPr>
                <w:sz w:val="20"/>
              </w:rPr>
            </w:pPr>
            <w:r>
              <w:rPr>
                <w:sz w:val="20"/>
              </w:rPr>
              <w:t>Expanded Board capabilities with appointments of Betty Jo Rocchio and Bill Plovanic</w:t>
            </w:r>
          </w:p>
        </w:tc>
      </w:tr>
    </w:tbl>
    <w:tbl>
      <w:tblPr>
        <w:tblW w:w="5853" w:type="dxa"/>
        <w:jc w:val="left"/>
        <w:tblInd w:w="0" w:type="dxa"/>
        <w:tblLayout w:type="fixed"/>
        <w:tblCellMar>
          <w:top w:w="0" w:type="dxa"/>
          <w:left w:w="0" w:type="dxa"/>
          <w:bottom w:w="0" w:type="dxa"/>
          <w:right w:w="0" w:type="dxa"/>
        </w:tblCellMar>
      </w:tblPr>
      <w:tblGrid>
        <w:gridCol w:w="38"/>
        <w:gridCol w:w="95"/>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720" w:type="dxa"/>
            <w:tcBorders/>
            <w:vAlign w:val="center"/>
          </w:tcPr>
          <w:p>
            <w:pPr>
              <w:pStyle w:val="TableContents"/>
              <w:bidi w:val="0"/>
              <w:spacing w:before="0" w:after="283"/>
              <w:jc w:val="left"/>
              <w:rPr>
                <w:sz w:val="20"/>
              </w:rPr>
            </w:pPr>
            <w:r>
              <w:rPr>
                <w:sz w:val="20"/>
              </w:rPr>
              <w:t>Accelerated hiring in the US sales organization, achieving 2025 target</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demonstrated continued growth and meaningful progress this quarter, resulting from a strengthened leadership team and strategic changes to enhance our commercial organization,” said Antony Koblish, Co-Founder and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 am pleased to see that the changes we’ve implemented within our sales organization are translating into tangible momentum,” said Jeffrey Blizard, President. “Our continued focus on building a patient-centric, performance-driven culture—grounded in fiscal discipline—is delivering results and laying a strong foundation to re-accelerate growth in 2026.”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Quarter 2025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was $20.7 million in the third quarter of 2025, an increase of 9% compared to the same period in 2024. The increase was primarily driven by the addition of new customers, growing international sales, and the U.S. launch of larger-sized OviTex PRS configuration. This growth was partially offset by a decrease in average selling prices for our hernia products, caused by a shift in product mix as the share of smaller-sized units increased.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was $14.0 million in the third quarter of 2025, or 67.5% of revenue, compared to $12.9 million, or 67.8% of revenue, in the same period in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were $21.5 million in the third quarter of 2025, compared to $22.2 million in the same period in 2024. The decrease was due to lower compensation and benefits primarily from less severance costs and decreased travel expenses, which were partially offset by higher commission costs on an increased revenue base, additional study and outside development costs, and increased professional fees.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 was $7.6 million in the third quarter of 2025, compared to a loss from operations of $9.4 million in the same period in 2024.</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was $8.6 million in the third quarter of 2025, compared to a net loss of $10.4 million in the same period in 2024.</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on September 30, 2025, totaled $29.7 million.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Revised 2025 Financial Guidance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year 2025 revenue is projected to grow at least 16% over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end of the third quarter, the Company closed on a credit facility for up to $70.0 million from Perceptive Advisors (“Perceptive”). The Perceptive credit facility consists of an initial loan of $60.0 million received at closing and an additional $10.0 million that can be drawn at the Company’s option by April 30, 2027 upon satisfaction of certain conditions, including, but not limited to, the achievement of net revenue thresholds. The facility matures on November 14, 2030, and bears interest at a rate equal to 7.85% plus the greater of one-month Term SOFR or 4.25%. The facility is interest-only until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TELA Bio will host a conference call at 4:30 p.m. Eastern Time on Thursday, November 13, 2025 to discuss its third quarter financial results. Investors interested in listening to the conference call should </w:t>
      </w:r>
      <w:r>
        <w:rPr>
          <w:rFonts w:ascii="Times New Roman;Times;Serif" w:hAnsi="Times New Roman;Times;Serif"/>
          <w:b w:val="false"/>
          <w:i w:val="false"/>
          <w:caps w:val="false"/>
          <w:smallCaps w:val="false"/>
          <w:sz w:val="20"/>
          <w:u w:val="single"/>
        </w:rPr>
        <w:t>register online</w:t>
      </w:r>
      <w:r>
        <w:rPr>
          <w:rFonts w:ascii="Times New Roman;Times;Serif" w:hAnsi="Times New Roman;Times;Serif"/>
          <w:b w:val="false"/>
          <w:i w:val="false"/>
          <w:caps w:val="false"/>
          <w:smallCaps w:val="false"/>
          <w:sz w:val="20"/>
        </w:rPr>
        <w:t xml:space="preserve">. Participants are required to register a day in advance or at minimum 15 minutes before the start of the call. A replay of the webcast can be accessed via the </w:t>
      </w:r>
      <w:r>
        <w:rPr>
          <w:rFonts w:ascii="Times New Roman;Times;Serif" w:hAnsi="Times New Roman;Times;Serif"/>
          <w:b w:val="false"/>
          <w:i w:val="false"/>
          <w:caps w:val="false"/>
          <w:smallCaps w:val="false"/>
          <w:sz w:val="20"/>
          <w:u w:val="single"/>
        </w:rPr>
        <w:t>Events &amp; Presentations</w:t>
      </w:r>
      <w:r>
        <w:rPr>
          <w:rFonts w:ascii="Times New Roman;Times;Serif" w:hAnsi="Times New Roman;Times;Serif"/>
          <w:b w:val="false"/>
          <w:i w:val="false"/>
          <w:caps w:val="false"/>
          <w:smallCaps w:val="false"/>
          <w:sz w:val="20"/>
        </w:rPr>
        <w:t xml:space="preserve"> page of the investor section of TELA Bio's website.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TELA Bio,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TELA Bio, Inc. (NASDAQ: TELA) is a commercial-stage medical technology company focused on providing innovative technologies that optimize clinical outcomes by prioritizing the preservation and restoration of the patient's own anatomy. The Company is committed to providing surgeons with advanced, economically effective soft-tissue reconstruction solutions that leverage the patient's natural healing response while minimizing long-term exposure to permanent synthetic materials. For more information, visit </w:t>
      </w:r>
      <w:r>
        <w:rPr>
          <w:rFonts w:ascii="Times New Roman;Times;Serif" w:hAnsi="Times New Roman;Times;Serif"/>
          <w:b w:val="false"/>
          <w:i w:val="false"/>
          <w:caps w:val="false"/>
          <w:smallCaps w:val="false"/>
          <w:sz w:val="20"/>
          <w:u w:val="single"/>
        </w:rPr>
        <w:t>www.telabio.com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Words such as "may," "might," "will," "should," "believe," "expect," "anticipate," "estimate," "continue," "predict," "forecast," "project," "plan," "intend" or similar expressions, or statements regarding intent, belief, or current expectations are forward-looking statements and reflect the current beliefs of TELA Bio's management. Such forward-looking statements include statements relating to our expected revenue and revenue growth for the full year 2025, expectations regarding operational efficiency and anticipated benefits from the Perceptive credit facility. These statements are not guarantees of future performance and are subject to certain risks, uncertainties and other factors that could cause actual results and events to differ materially and adversely from those indicated by such forward-looking statements including, among others: the impact to our business from macroeconomic conditions, including recessionary concerns, banking instability, changes in market interest rates, monetary policy changes, changes in trade policies, including tariffs and trade protection measures, and inflationary pressures, potentially impacting our ability to market our products; demand for our products related to changes in volumes or frequency of surgical procedures, including due to outbreak of illness or disease, cybersecurity events impacting hospital operations, potential hospital closures, labor and hospital staffing shortages, supply chain disruptions to critical surgical and hospital supplies, pricing pressures or any other applicable adverse healthcare economic factors; our ability to achieve or sustain profitability; our ability to gain market acceptance for our products and to accurately forecast and meet customer demand; our ability to compete successfully; that data from earlier studies related to our products and interim data from ongoing studies may not be replicated in later studies or indicative of future data; that data obtained from clinical studies using our product may not be indicative of outcomes in other surgical settings; our ability to maintain and benefit from our enhanced operations and expanded market access our ability to enhance our product offerings; product development and manufacturing problems; capacity constraints or delays in production of our products; maintenance of coverage and adequate reimbursement for procedures using our products; and product defects or failures. These risks and uncertainties are described more fully in the "Risk Factors" section and elsewhere in our filings with the Securities and Exchange Commission and available at www.sec.gov, including in our Annual Report on Form 10-K and Quarterly Reports on Form 10-Q. Any forward-looking statements that we make in this announcement speak only as of the date of this press release, and TELA Bio assumes no obligation to update forward-looking statements whether as a result of new information, future events or otherwise after the date of this press release,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Contact</w:t>
      </w:r>
      <w:r>
        <w:rPr>
          <w:rFonts w:ascii="Times New Roman;Times;Serif" w:hAnsi="Times New Roman;Times;Serif"/>
          <w:b w:val="false"/>
          <w:i w:val="false"/>
          <w:caps w:val="false"/>
          <w:smallCaps w:val="false"/>
          <w:sz w:val="20"/>
        </w:rPr>
        <w:br/>
        <w:t>Louisa Smith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ir@telabio.com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TELA Bio, Inc.</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Consolidated Balance Sheets</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thousands, except share and per share amounts)</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64"/>
        <w:gridCol w:w="60"/>
        <w:gridCol w:w="168"/>
        <w:gridCol w:w="1026"/>
        <w:gridCol w:w="80"/>
        <w:gridCol w:w="60"/>
        <w:gridCol w:w="162"/>
        <w:gridCol w:w="987"/>
        <w:gridCol w:w="98"/>
      </w:tblGrid>
      <w:tr>
        <w:trPr/>
        <w:tc>
          <w:tcPr>
            <w:tcW w:w="75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6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5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5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52,670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of allowances of $239 and $275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10,098</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12,781</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2,522</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78,071</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2,341</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1,739</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1,738</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86,570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56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5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5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2,147</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13,451</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15,598</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41,124</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58,112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5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5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$0.001 par value: 10,000,000 shares authorized; no shares issued and outstanding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$0.001 par value: 200,000,000 shares authorized; 40,341,535 and 39,395,712 shares issued and outstanding at September 30, 2025 and December 31, 2024,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389,946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387,059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(388,520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(358,730</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5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28,458</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86,570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TELA Bio, Inc.</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Consolidated Statements of Operations and Comprehensive Loss</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thousands, except share and per share amounts)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75"/>
        <w:gridCol w:w="60"/>
        <w:gridCol w:w="153"/>
        <w:gridCol w:w="1168"/>
        <w:gridCol w:w="97"/>
        <w:gridCol w:w="73"/>
        <w:gridCol w:w="153"/>
        <w:gridCol w:w="1168"/>
        <w:gridCol w:w="80"/>
        <w:gridCol w:w="60"/>
        <w:gridCol w:w="148"/>
        <w:gridCol w:w="1129"/>
        <w:gridCol w:w="94"/>
        <w:gridCol w:w="70"/>
        <w:gridCol w:w="148"/>
        <w:gridCol w:w="1129"/>
        <w:gridCol w:w="100"/>
      </w:tblGrid>
      <w:tr>
        <w:trPr/>
        <w:tc>
          <w:tcPr>
            <w:tcW w:w="4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1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September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1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September 30,</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3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7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127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20,689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59,406</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51,651</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(excluding amortization of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18,535</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16,099</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13,969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40,586</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35,267</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4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15,227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48,692</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50,691</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3,948</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11,910</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11,133</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2,348</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7,091</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6,784</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21,523</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67,693</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68,608</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4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sale of product line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7,580</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(7,554</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(9,365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(27,107</w:t>
            </w:r>
          </w:p>
        </w:tc>
        <w:tc>
          <w:tcPr>
            <w:tcW w:w="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(25,761</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income: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4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(1,201</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(3,608</w:t>
            </w:r>
          </w:p>
        </w:tc>
        <w:tc>
          <w:tcPr>
            <w:tcW w:w="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(4,007</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1,135</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(1,049</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(2,598</w:t>
            </w:r>
          </w:p>
        </w:tc>
        <w:tc>
          <w:tcPr>
            <w:tcW w:w="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(2,872</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(8,603</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(29,705</w:t>
            </w:r>
          </w:p>
        </w:tc>
        <w:tc>
          <w:tcPr>
            <w:tcW w:w="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(28,633</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(8,603</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(29,790</w:t>
            </w:r>
          </w:p>
        </w:tc>
        <w:tc>
          <w:tcPr>
            <w:tcW w:w="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(28,633</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common share,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(0.19</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(0.66</w:t>
            </w:r>
          </w:p>
        </w:tc>
        <w:tc>
          <w:tcPr>
            <w:tcW w:w="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shares outstanding,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45,421,795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24,703,578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45,351,947</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24,648,933</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4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(8,603</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(29,790</w:t>
            </w:r>
          </w:p>
        </w:tc>
        <w:tc>
          <w:tcPr>
            <w:tcW w:w="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(28,633</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(8,605</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(29,789</w:t>
            </w:r>
          </w:p>
        </w:tc>
        <w:tc>
          <w:tcPr>
            <w:tcW w:w="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(28,575</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5" w:name="tm2531116d1_ex99-2.htm"/>
      <w:bookmarkStart w:id="26" w:name="kstm2531116d1_ex992"/>
      <w:bookmarkEnd w:id="25"/>
      <w:bookmarkEnd w:id="26"/>
      <w:r>
        <w:rPr>
          <w:b/>
        </w:rPr>
        <w:t>Exhibit 99.2</w:t>
      </w:r>
      <w:r>
        <w:br w:type="page"/>
      </w:r>
    </w:p>
    <w:p>
      <w:pPr>
        <w:pStyle w:val="TextBody"/>
        <w:bidi w:val="0"/>
        <w:jc w:val="right"/>
        <w:rPr/>
      </w:pPr>
      <w:r>
        <w:rPr/>
        <w:t> </w:t>
      </w:r>
    </w:p>
    <w:p>
      <w:pPr>
        <w:pStyle w:val="TextBody"/>
        <w:bidi w:val="0"/>
        <w:spacing w:before="0" w:after="283"/>
        <w:jc w:val="left"/>
        <w:rPr/>
      </w:pPr>
      <w:r>
        <w:rPr/>
        <w:drawing>
          <wp:inline distT="0" distB="0" distL="0" distR="0">
            <wp:extent cx="6858000" cy="38588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INVESTOR PRESENTATION November 2025</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This presentation contains forward - looking statements within the meaning of The Private Securities Litigation Reform Act of 1995 . All statements other than statements of historical facts contained in this document, including but not limited to statements regarding possible or assu med future results of operations, business strategies, development plans, regulatory activities, market opportunity competitive position, potential growth oppo rtu nities, and the effects of competition, are forward - looking statements. These statements involve known and unknown risks, uncertainties and other important factors that may cause the actual results, performance or achievements of TELA Bio, Inc. (the “Company”) to be materially different from any future res ults, performance or achievements expressed or implied by the forward - looking statements. In some cases, you can identify forward - looking statements by terms such as “may,” “will,” “should,” “expect,” “plan,” “aim,” “anticipate,” “could,” “intend,” “target,” “project,” “contemplate,” “believe,” “e sti mate,” “predict,” “potential” or “continue” or the negative of these terms or other similar expressions. The forward - looking statements in this presentation are only predictio ns. The Company has based these forward - looking statements largely on its current expectations and projections about future events and financial trends th at it believes may affect the Company’s business, financial condition, and results of operations. These forward - looking statements speak only as of the date o f this presentation and are subject to a number of risks, uncertainties and assumptions, some of which cannot be predicted or quantified and some of whic h a re beyond the Company’s control, including, among others: the impact to our business from macroeconomic conditions, including recessionary concerns, ban king instability, increasing market interest rates, monetary policy changes, changes in trade policies, including tariffs and trade protection measures, a nd inflationary pressures, potentially impacting our ability to market our products; demand for our products related to changes in volumes or frequency of surgical procedures, including due to outbreak of illness or disease, cybersecurity events impacting hospital operations, potential hospital closures, labor an d hospital staffing shortages, supply chain disruptions to critical surgical and hospital supplies, pricing pressures or any other applicable adverse health car e economic factors; our ability to achieve or sustain profitability; our ability to gain market acceptance for our products and to accurately forecast and meet cus tomer demand; our ability to compete successfully; that data from earlier studies related to our products and interim data from ongoing studies may not be re plicated in later studies or indicative of future data; that data obtained from clinical studies using our product may not be indicative of outcomes in ot her surgical settings; our ability to enhance our product offerings; product development and manufacturing problems; capacity constraints or delays in production o f o ur products; maintenance of coverage and adequate reimbursement for procedures using our products; and product defects or failures. These and other ri sks and uncertainties are described more fully in the "Risk Factors" section and elsewhere in the Company's filings with the U.S. Securities and Exchan ge Commission (the “SEC”) and available at www.sec.gov . You should not rely on these forward - looking statements as predictions of future events. The events and circumstances reflecte d in the Company’s forward - looking statements may not be achieved or occur, and actual results could differ materially from those pro jected in the forward - looking statements. Moreover, the Company operates in a dynamic industry and economy. New risk factors and uncertainties may emerge f rom time to time, and it is not possible for management to predict all risk factors and uncertainties that the Company may face. Except as required by ap pli cable law, we do not plan to publicly update or revise any forward - looking statements contained herein, whether as a result of any new information, future ev ents, changed circumstances or otherwise. 2 Forward Looking Statements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We provide innovative soft - tissue reconstruction solutions that optimize clinical outcomes by prioritizing the Preservation and Restoration of the patient’s own anatomy. 3 Our Mission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TELA Bio, Inc. Advanced reinforced tissue matrix portfolio supported by compelling clinical evidence $2.6B US market opportunity 1 – still in early stages of growth Driving commercial adoption with targeted direct - sales approach Recent product launches in growing markets: robotic hernia surgery, plastic and reconstructive surgery Broad intellectual property portfolio Established DRG - based reimbursement pathway for hernia repair and robust GPO access Highly accomplished executive team with proven track record Redefining soft tissue preservation and restoration with a differentiated category of tissue reinforcement materials and supportive products 4 1. Management estimate. $2.6B total includes $1.8B hernia &amp; abdominal wall reconstruction, $0.8B plastic reconstructive surgery.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Product Adoption Since Launch ~81,000 OviTex Reinforced Tissue Matrix (RTM) Implantations Globally 5 60+ Published or Presented Works 5,000+ Hospitals Covered by GPO Access 18,000+ OviTex PRS Implantations (U.S.) 1100 + Patients in Peer - Reviewed Publications 2500 + Patients in Ongoing Clinical Data Collection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Complex, Moderate Ventral / Abdominal Wall Reconstruction Simple Ventral Hernia Repair Inguinal Hernia Repair Hiatal Hernia Repair ~105,000 ~395,000 ~645,000 ~42,000 $630 M $590 M $ 54 0 M $42 M 1. Sources: Millennium Research Group Reports, IMS Health Data; iData Research MedSKU . 2. Management estimate. Market size based on volume and weighted average selling price for OviTex . Annual Procedures 1 $1.8B 2 Robotic / Minimally Invasive Surgery (MIS) Opportunity within the Hernia Market Robotic / MIS compatible procedures total over 1M annually and have a potential market opportunity of up to $1.2B 2 7 ~$1.8 Billion Annual Opportunity US Hernia Surgery Market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OviTex Core 4 - layer device No smooth sides Robot Compatible 1 : Yes OviTex Core is designed to reinforce primary hernia repairs where the device will not come into contact with viscera. A more Natural Hernia Repair OviTex Reinforced Tissue Matrix OviTex 1S 6 - layer device 1 smooth side Robot Compatible 1 : Yes OviTex 1S incorporates a smooth side that is designed to minimize tissue attachment and to reinforce primary hernia repairs where the device may come into contact with viscera (e.g. intraperitoneal). OviTex 2S 8 - layer device 2 smooth sides Robot Compatible: No OviTex 2S incorporates eight layers of tissue for added strength. The two smooth sides make it suitable for intraperitoneal placement. OviTex LPR 4 - layer device 1 smooth side Robot Compatible 1 : Yes OviTex LPR is designed specifically for use in minimally invasive procedures. The design also incorporates a smooth side making it suitable for intraperitoneal placement. OviTex IHR 4 - layer and 3 - layer device No smooth sides Robot Compatible 2 : Yes OviTex IHR is designed specifically for use in inguinal hernia repair procedures. The design also incorporates an anatomical and rectangular shape to suit surgeon preference. 8 1. Robot compatibility based on use of 10mm trocar. Robot compatibility of LPR and OviTex Core include sizes 400 cm 2 or less. Robot compatibility of OviTex 1S includes sizes 200 cm 2 or less. 2. Data on File..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9 1. Hernia and Abdominal Surgeries Survey (Oct 2020). A group of 71 surgeons were surveyed regarding use of mesh in various he rni a repair surgeries. 2. Figures derived from Company - sponsored online poll of approximately 1,100 potential patients for hernia procedures. 3. See Medtronic plc Form 10 - Q, filed with the SEC on Aug. 27, 2024; Atrium Medical Corp. C - Qur Mesh Products Liability Litigation (Case No: 16 - md - 2753 LM); In RE: Ethicon Physiomesh Flexible Composite Hernia Mesh Products Liability Litigation (Case No: 1:17 - md - 02782 - RWS). 4. Reuters, “Becton Dickinson agrees to settle about 38,000 hernia mesh suits” (retrieved from https:// www.reuters.com /legal/litigation/becton - dickinson - agrees - settle - about - 38000 - hernia - mesh - suits - 2024 - 10 - 03/); Getinge Press Release, dated Decemb er 8, 2021; Johnson &amp; Johnson Form 10 - K, filed with the SEC on February 16, 2024 regarding settlement of Ehticon Physiomesh Flexible Composite Mesh claims). 5. U.S. Food and Drug Administration. (n.d.). FDA's activities: Urogynecologic surgical mesh implants. U.S. Department of Health and Human Services. Retrieved from https:// www.fda.gov /news - events/press - announcements/fda - takes - action - protect - womens - health - orders - manufacturers - surgical - mesh - intended - transvaginal O f surgeons agree that use of permanent synthetic mesh puts patients at long - term risk of complications 1 59 % Hernia patients want proactive control in their care 2 3 of 4 Product liability lawsuits relating to permanent synthetic hernia repair (as of November 2024) 3 Not inclusive of ~40,000 or more cases settled or dismissed within the past three years 4 ~ 15,000 FDA issued multiple 522 orders to manufacturers requiring pre - market approval prior to sale and distribution of transvaginal mesh for pelvic organ prolapse repair​ 5 2019 Steps surgeons must take in the U.K. as part of the Royal College of Surgeons guidance for Patient Consent Supported Decision Making following the 2015 Montgomery Ruling 6 10 Need for Alternative to Permanent Synthetic Mesh</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Source: Refer to “Clinical References” in this presentation. * Indicates one or more surgeons are paid consultants of TELA Bio, Inc. 10 Backed by 9+ years of clinical experience and 50+ published or presented works Consistently Low Recurrence Rates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*Overall complications including surgical site occurrences (SSOs) and surgical site infections (SSIs) a – OviTex patients were more complicated with a significantly higher mVHWG distribution and CDC wound classification compared to polypropylene patients. b – OviTex patients experienced significantly less complications than patients receiving the other three biologics. c – OviTex and Strattice patients had a statistically lower recurrence rate than patients receiving the other two biologics. Source: Refer to “Clinical References” in this presentation. Sivaraj et al. 2 Parker et al. 3 37 Surgimend 17 Permacol 51 Strattice 36 OviTex 50 Polypropylene 50 OviTex Total enrolled patients 37.5 months (median) 58.4 months (median) 34.6 months (median) 28.6 months (median) 12 months 12 months Length of follow - up 40% grade 1 51% grade 2 9% grade 3 18% grade 1 71% grade 2 12% grade 3 17% grade 1 79% grade 2 4% grade 3 33% grade 1 58% grade 2 8% grade 3 94% grade 2 6% grade 3 32% grade 2 68% grade 3 a mVHWG 91% class I - II 94% class I - II 86% class I - II 89% class I - II 94% CDC class I 70% CDC class II+ a CDC wound class 43.2%* 52.9%* 47.1%* 16.7%* 22%* 36%* Incidence of SSO 5.4% 11.8% 12.5% 2.8% b - - Incidence of SSI 24.3% 29.4% 13.7% c 2.8% c 12% 6% Recurrence rate 11 Comparisons to synthetic mesh and leading first generation biologics Favorable Results of OviTex in Ventral Hernia Repair</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 Kaplan - Meier survival estimate **No head - to - head clinical studies have been conducted. Due to differences in patient population, surgeons, surgical technique, and other variables, no direct comparisons of results can be made. For a comparative discussion of these studies, please see G. DeNoto , E.P. Ceppa , S.J. Pacella, M. Sawyer, G. Slayden , M. Takata, G. Tuma, J. Yunis, 24 - Month results of the BRAVO study: A prospective, multi - center study evaluating the clinical outcomes of a ventral hernia cohort treated with OviTex ® 1S permanent reinforced tissue matrix, Ann Medicine Surg 2022, 83, 104745 . Hope et al. (ATLAS) 13 Roth et al. 12 Harris et al. (PRICE) 11 DeNoto et al. (BRAVO) 4 120 Phasix ST 121 Phasix 83 Ventralight ST or Bard Soft Mesh 82 Strattice 92 OviTex Total enrolled patients 24 months 36 months 26 months 24 months Length of follow - up - - - 78% grade 2 - 3 mVHWG 100% class I 100% class I 93% class l - ll 90% class l - ll 95% class I - II CDC wound class Laparoscopic (55.8%) Robotic (44.2%) Open Open Open Open (65%) Laparoscopic (13%) Robotic (22%) Surgical technique 0.8% (includes SSI) - 22% (excludes SSI) 21% (excludes SSI) 38% (includes SSI) Incidence of SSO 0% 9% * 34% 39% 20.7% Incidence of SSI 31.7% * (overall) 18.6% * (defects &lt; 7cm 2 ) 17.9% * 22% (overall) 28% (class I wounds) 40% (overall) 34% (class I wounds) 2.6% * Recurrence rate Source: Refer to “Clinical References” in this presentation. 12 OviTex performance contextualized alongside contemporaneous publications for leading competitive products Positive 24 - month BRAVO Results In Ventral Hernia</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TELA Bio positioned to grow from a market shift towards resorbable and more “natural repair” solutions as an alternative to traditional Permanent Synthetics or Biologics Hernia Market Evolution 2027 2021 2018 2013 Permanent Synthetic Biologic Sales Market Share &lt;1% Robotic Procedures ( Px ) 7% Robotic Px 12% Robotic Px 202 3 1 4 % Robotic Px Resorbable Synthetics Reinforced Tissue Matrix 21% Robotic Px Resorbable Synthetics and Reinforced Tissue Matrix strengths: 13 Sources for Sales Market Share (%): 2009 - 2013 = IMS Hospital Supply Index; 2018 - 2023 = iData Research MedSKU Sources for Total U.S. Market Size: 2021 - 202 7 = DRG Hernia Repair Devices Report – 2021; 2013 - 2018 = Management Estimate. Sources for % Robotic Procedures: 2018 - 2027 = DRG Hernia Repair Devices Report – 2021; 2013 = Management Estimate. Clinical Evidence Robot Compatibility Cost - effectiveness Patient Choice &amp; Shared Decision - making</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14</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15 ~$800 Million Annual Opportunity US Plastic &amp; Reconstructive Surgery Market $700M 2 1. OviTex PRS is for implantation to reinforce soft tissue where weakness exists in patients requiring soft tissue repair or reinforcem en t in plastic and reconstructive surgery. The device is supplied sterile and is intended for one - time use. OviTex PRS has not been tested in breast surgical procedures. 2. Management estimate. Source: iData Research MedSKU , Q1 2024. Market size based on sales of current biologics. + $100M 2 Cosmetic Plastic &amp; Reconstructive Surgery Market dominated by human acellular dermal matrices (HADMs): Prone to high degree of stretch Expensive, putting pressure on hospital systems Can experience supply shortages, particularly when large pieces of material are required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Specifically designed for plastic and reconstructive surgery OviTex PRS An innovative reinforced tissue matrix designed to improve outcomes by facilitating fluid management and controlling degree and direction of stretch Product Features: Layers composed of biologic building block retain biologically significant macromolecules for tissue regeneration 1,2 Diamond embroidery pattern and stents allow for directional flexibility; sawtooth embroidery pattern and slits allow for bi - directional stretch while providing stretch resistance Distinct permeability elements in various configurations – e.g., micropores, macropores, and stents/slits – designed to facilitate fluid management OviTex PRS compared to market leading human ADM 3 Exhibited earlier host cell proliferation, collagen deposition and neovascularization Demonstrated tissue remodeling into mature, functional and organized collagen 1. Certain configurations available in two or three layers, see product catalog more information. 2. Lun S, Irvine S.M., John son K.D., Fisher N.J., Floden E. W., Negron L., Dempsey S.G. , McLaughlin R.J., Vasudevamurthy M. , Ward B.R., May B.C., A functional extracellular matrix biomaterial derived from ovine forestomach, Biomaterials 31(16) (2010) 4517 - 29. 3. ADM: Acellular Dermal Matrix. Overbeck N, Beierschmitt A, May BC, Qi S, Koch J. In - Vivo Evaluation of a Reinforced Ovine Biologic for Plastic and Reconstructive Procedures in a Non - human Primate Model of Soft Tissue Repair. Eplasty . 2022 Sep 14;22:e43. PMID: 36160663; PMCID: PMC9490877. Animal testing results may not be indicative of clinical performance. 16 Available in 2 - layer resorbable (polyglycolic acid) polymer, 3 - layer permanent (polypropylene) polymer, or 3 - layer resorbable (polylactic - co - glycolic acid) polymer reinforcing the same biologic material</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17 Leading - edge atraumatic hernia mesh fixation devices Designed to minimize complications for patient safety and comfort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LIQUIFIX FIX8 &amp; LIQUIFIX Precision Atraumatic liquid fixation devices Reduce the need for penetrating mechanical fixation for inguinal and femoral hernia repair Provide precise, controlled adhesive application Addresses an unmet need in the market, less damage to tissue Designed to minimize the risk of mechanical tissue trauma 2 Strong and secure mesh fixation 2 Pre - assembled device Adhesives polymerize in ~10 seconds Provides versatile liquid anchors at multiple angles 1 . LIQUIFIX FIX8 is intended for use in laparoscopic surgical repair of groin (femoral and inguinal) hernias, achieved through the fixation of prosthetic polypropylene or polyester mesh to the abdominal wall and the approximation of the peritoneum; LIQUIFIX Precision is intended for use in open surgical repair of groin (inguinal and femoral) hernias, achieved through the fixation of prosthetic polypropylene or polyester mesh to the abdominal wall. 2. Data on file: Advanced Medical Solutions 18 LIQUIFIX FIX8 1 is a complementary product addressing both open and laparoscopic hernia repair in the groin.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Driving Revenue Growth Sales Force Size Rep Productivity Product Portfolio GPO Access Clinical Experience X X X X = SALES $ 2021 40 - 45 Reps / 5 TB Ltd.* 2022 61 Reps / 6 TB Ltd.* 2023 86 Reps / 9 TB Ltd.* 2024 63 Territory Managers + 8 Account Specialists / 10 TB Ltd.* 2025 (Target) 76 Territory Managers + 21 Account Specialists / 14 TB Ltd.* Playbook90 training (new reps) &amp; ongoing, intensive product training Avg. 6 mos. to breakeven Cadaver labs &amp; other surgeon education &amp; training programs Medical affairs support Industry &amp; society meetings R&amp;D and BD + + 5000+ Hospitals covered by GPO access BRAVO 24 - month data: 2.6% recurrence 60+ published or presented works 1100+ patients in peer - reviewed publications 2500+ p atients in ongoing clinical data collection ~81,000 OviTex RTM implantations globally 18,000+ OviTex PRS implantations 19 *TB Ltd. = European Sales Force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19 20</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21 Delivering Revenue Growth and Strong Margin with Continuing Improvement Potential $ 21M Quarterly revenue of $ 20.7M , growing 9 % over corresponding period of 2024 $2 9.7M Cash and Cash Equivalents at September 30, 2025 68 % Gross Margin Q3 2025 Performance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 Ankney, C.; Banaschak , C.; Sowers, B.; Szotek , P. Minimizing Retained Foreign Body in Hernia Repair Using a Novel Technique: Reinforced Biologic Augmented Repair ( ReBAR ). J Clin Medical Res 2021, doi:10.37191/mapsci - 2582 - 4333 - 3(4) - 073. 2. Sivaraj , D.; Henn, D.; Fischer, K.S.; Kim, T.S.; Black, C.K.; Lin, J.Q.; Barrera, J.A.; Leeolou , M.C.; Makarewicz , N.S.; Chen, K.; et al. Reinforced Biologic Mesh Reduces Postoperative Complications Compared to Biologic Mesh after Ventral Hernia Repair. Plastic Reconstr Surg – Global Open 2022, 10, e4083, doi:10.1097/gox.0000000000004083. 3. Parker, M.J.; Kim, R.C.; Barrio, M.; Socas, J.; Reed, L.R.; Nakeeb , A.; House, M.G.; Ceppa , E.P. A Novel Biosynthetic Scaffold Mesh Reinforcement Affords the Lowest Hernia Recurrence in the Highest - Risk Patients. Surg Endosc 2021, 35, 5173 – 5178, doi:10.1007/s00464 - 020 - 08009 - 1. 4. DeNoto , G.; Ceppa , E.P.; Pacella, S.J.; Sawyer, M.; Slayden , G.; Takata, M.; Tuma, G.; Yunis, J. 24 - Month Results of the BRAVO Study: A Prospective, Multi - Center Study Evaluating the Clinical Outcomes of a Ventral Hernia Cohort Treated with OviTex ® 1S Permanent Reinforced Tissue Matrix. Ann Medicine Surg 2022, 83, 104745, doi:10.1016/j.amsu.2022.104745. 5. Sivaraj , D., Fischer, K. S., Kim, T. S., Chen, K., Tigchelaar , S. S., Trotsyuk , A. A., Gurtner , G. C., Lee, G. K., Henn, D., &amp; Nazerali, R. S. (2022).Outcomes of Biosynthetic and Synthetic Mesh in Ventral Hernia Repair. Plastic and reconstructive surgery. Global open, 10(12), e4707. https:// doi.org /10.1097/GOX.0000000000004707. 6. Agarwal, A. K. ;Lake, S. P.; Deeken , C. R. (2024). Reinforced tissue matrix to strengthen the abdominal wall following reversal of temporary ostomies or to trea t i ncisional hernias. World journal of gastrointestinal surgery, 16(3), 823 – 832. https:// doi.org /10.4240/wjgs.v16.i3.823. 7. Goetz, M.; Jurczyk , M.; Junger, J.; Schlitt, H.J.; Brunner, S.M.; Brennfleck , F.W. Semiresorbable biologic hybrid meshes for ventral abdominal hernia repair in potentially contaminated settings: lower risk of recurrence. Updates Surg. 2022; 74(6): 1995 – 2001. Published online 2022 Oct 12. doi : 10.1007/s13304 - 022 - 01378 - 3. 8. Sawyer, M.A.J. New Ovine Polymer - Reinforced Bioscaffold in Hiatal Hernia Repair. Jsls J Soc Laparoendosc Surg 2018, 22, e2018.00057, doi:10.4293/jsls.2018.00057. 9. DeNoto , G. Bridged Repair of Large Ventral Hernia Defects Using an Ovine Reinforced Biologic: A Case Series. Ann Medicine Surg 75, 103 446, doi:10.1016/j.amsu.2022.103446. 10. Ferzoco , S. (2018). Early Experience outcome of a reinforced Bioscaffold in inguinal hernia repair: A case series. International Journal of Surgery Open, 12. 9 - 11. https:// doi.org /10.1016/j.ijso.2018.06.001. 11. Harris, H.W.; Primus, F.; Young, C.; Carter, J.T.; Lin, M.; Mukhtar, R.A.; Yeh, B.; Allen, I.E.; Freise , C.; Kim, E.; et al. Preventing Recurrence in Clean and Contaminated Hernias Using Biologic Versus Synthetic Mesh in Ventral Hernia Repair: The PRICE Randomized Clinical Trial. Ann Surg 2021, 27 3, 648 – 655, doi:10.1097/sla.0000000000004336. 12. Roth, J.S.; Anthone , G.J.; Selzer, D.J.; Poulose , B.K.; Pierce, R.A.; Bittner, J.G.; Hope, W.W.; Dunn, R.M.; Martindale, R.G.; Goldblatt, M.I.; et al. Prospective, Multicent er Study of P4HB ( PhasixTM ) Mesh for Hernia Repair in Cohort at Risk for Complications: 3 - Year Follow - Up. Ann Medicine Surg 2021, 61, 1 – 7, doi:10.1016/j.amsu.2020.12.002. 13. Hope, W.W.; El - Ghazzawy , A.G.; Winterstein, B.A.; Blatnik, J.A.; Davis, S.S.; Greenberg, J.A.; Sanchez, N.C.; Pauli, E.M.; Tseng, D.M.; LeBlanc, K.A .; et al. A Prospective, Multicenter Trial of a Long - Term Bioabsorbable Mesh with Sepra Technology in Cohort of Challenging Laparoscopic Ventral or Incisional Hernia Repairs (ATLAS Trial). Ann Medicine Surg 2022, 73, 103156, doi:10.1016/j.amsu.2021.103156. 22 Clinical References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righ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5839</Words>
  <Characters>31863</Characters>
  <CharactersWithSpaces>38202</CharactersWithSpaces>
  <Paragraphs>1066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