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100937.xml.htm"/>
      <w:bookmarkStart w:id="1" w:name="ksform409162026_1009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Capper Joseph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TELA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GREAT VALLEY PARKWAY, SUITE 24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TELA Bio, Inc.</w:t>
              </w:r>
            </w:hyperlink>
            <w:r>
              <w:rPr/>
              <w:t xml:space="preserve"> [ </w:t>
            </w:r>
            <w:r>
              <w:rPr>
                <w:rFonts w:ascii="Times;serif" w:hAnsi="Times;serif"/>
                <w:color w:val="0000FF"/>
                <w:sz w:val="24"/>
                <w:shd w:fill="FFFFFF" w:val="clear"/>
              </w:rPr>
              <w:t>TELA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1.0201</w:t>
            </w: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54,827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1.0588</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104,827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$0.9899 to $1.04. The Reporting Person undertakes to provide to the Issuer, any security holder of the Issuer, or the staff of the Securities and Exchange Commission, 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purchased in multiple transactions at prices ranging from $1.01 to $1.10. The Reporting Person undertakes to provide to the Issuer, any security holder of the Issuer, or the staff of the Securities and Exchange Commission, 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Megan Smeykal,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6817" TargetMode="External"/><Relationship Id="rId5" Type="http://schemas.openxmlformats.org/officeDocument/2006/relationships/hyperlink" Target="http://www.sec.gov/cgi-bin/browse-edgar?action=getcompany&amp;CIK=0001561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719</Words>
  <Characters>3855</Characters>
  <CharactersWithSpaces>4498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