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395" w:lineRule="exact"/>
        <w:rPr>
          <w:sz w:val="24"/>
          <w:szCs w:val="24"/>
          <w:color w:val="auto"/>
        </w:rPr>
      </w:pPr>
    </w:p>
    <w:p>
      <w:pPr>
        <w:ind w:left="2560"/>
        <w:spacing w:after="0"/>
        <w:rPr>
          <w:sz w:val="20"/>
          <w:szCs w:val="20"/>
          <w:color w:val="auto"/>
        </w:rPr>
      </w:pPr>
      <w:r>
        <w:rPr>
          <w:rFonts w:ascii="Arial" w:cs="Arial" w:eastAsia="Arial" w:hAnsi="Arial"/>
          <w:sz w:val="16"/>
          <w:szCs w:val="16"/>
          <w:b w:val="1"/>
          <w:bCs w:val="1"/>
          <w:color w:val="auto"/>
        </w:rPr>
        <w:t>As filed with the Securities and Exchange Commission on June 23, 2020.</w:t>
      </w:r>
    </w:p>
    <w:p>
      <w:pPr>
        <w:ind w:left="808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27940</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87630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94"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UNITED STATES</w:t>
      </w:r>
    </w:p>
    <w:p>
      <w:pPr>
        <w:jc w:val="center"/>
        <w:ind w:right="-519"/>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66040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42" w:lineRule="exact"/>
        <w:rPr>
          <w:sz w:val="24"/>
          <w:szCs w:val="24"/>
          <w:color w:val="auto"/>
        </w:rPr>
      </w:pPr>
    </w:p>
    <w:p>
      <w:pPr>
        <w:jc w:val="center"/>
        <w:ind w:right="-519"/>
        <w:spacing w:after="0"/>
        <w:rPr>
          <w:sz w:val="20"/>
          <w:szCs w:val="20"/>
          <w:color w:val="auto"/>
        </w:rPr>
      </w:pPr>
      <w:r>
        <w:rPr>
          <w:rFonts w:ascii="Arial" w:cs="Arial" w:eastAsia="Arial" w:hAnsi="Arial"/>
          <w:sz w:val="23"/>
          <w:szCs w:val="23"/>
          <w:b w:val="1"/>
          <w:bCs w:val="1"/>
          <w:color w:val="auto"/>
        </w:rPr>
        <w:t>FORM S-1</w:t>
      </w:r>
    </w:p>
    <w:p>
      <w:pPr>
        <w:spacing w:after="0" w:line="10"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REGISTRATION STATEMENT</w:t>
      </w:r>
    </w:p>
    <w:p>
      <w:pPr>
        <w:jc w:val="center"/>
        <w:ind w:right="-459"/>
        <w:spacing w:after="0" w:line="203" w:lineRule="auto"/>
        <w:rPr>
          <w:sz w:val="20"/>
          <w:szCs w:val="20"/>
          <w:color w:val="auto"/>
        </w:rPr>
      </w:pPr>
      <w:r>
        <w:rPr>
          <w:rFonts w:ascii="Arial" w:cs="Arial" w:eastAsia="Arial" w:hAnsi="Arial"/>
          <w:sz w:val="18"/>
          <w:szCs w:val="18"/>
          <w:b w:val="1"/>
          <w:bCs w:val="1"/>
          <w:color w:val="auto"/>
        </w:rPr>
        <w:t>UNDER</w:t>
      </w:r>
    </w:p>
    <w:p>
      <w:pPr>
        <w:jc w:val="center"/>
        <w:ind w:right="-51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31750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TELA Bio, Inc.</w:t>
      </w:r>
    </w:p>
    <w:p>
      <w:pPr>
        <w:spacing w:after="0" w:line="38" w:lineRule="exact"/>
        <w:rPr>
          <w:sz w:val="24"/>
          <w:szCs w:val="24"/>
          <w:color w:val="auto"/>
        </w:rPr>
      </w:pPr>
    </w:p>
    <w:p>
      <w:pPr>
        <w:ind w:left="3720"/>
        <w:spacing w:after="0"/>
        <w:rPr>
          <w:sz w:val="20"/>
          <w:szCs w:val="20"/>
          <w:color w:val="auto"/>
        </w:rPr>
      </w:pPr>
      <w:r>
        <w:rPr>
          <w:rFonts w:ascii="Arial" w:cs="Arial" w:eastAsia="Arial" w:hAnsi="Arial"/>
          <w:sz w:val="14"/>
          <w:szCs w:val="14"/>
          <w:color w:val="auto"/>
        </w:rPr>
        <w:t>(Exact name of registrant as specified in its charter)</w:t>
      </w:r>
    </w:p>
    <w:p>
      <w:pPr>
        <w:spacing w:after="0" w:line="30" w:lineRule="exact"/>
        <w:rPr>
          <w:sz w:val="24"/>
          <w:szCs w:val="24"/>
          <w:color w:val="auto"/>
        </w:rPr>
      </w:pPr>
    </w:p>
    <w:tbl>
      <w:tblPr>
        <w:tblLayout w:type="fixed"/>
        <w:tblInd w:w="1120" w:type="dxa"/>
        <w:tblCellMar>
          <w:top w:w="0" w:type="dxa"/>
          <w:left w:w="0" w:type="dxa"/>
          <w:bottom w:w="0" w:type="dxa"/>
          <w:right w:w="0" w:type="dxa"/>
        </w:tblCellMar>
      </w:tblPr>
      <w:tr>
        <w:trPr>
          <w:trHeight w:val="207"/>
        </w:trPr>
        <w:tc>
          <w:tcPr>
            <w:tcW w:w="3280" w:type="dxa"/>
            <w:vAlign w:val="bottom"/>
          </w:tcPr>
          <w:p>
            <w:pPr>
              <w:jc w:val="center"/>
              <w:ind w:right="1344"/>
              <w:spacing w:after="0"/>
              <w:rPr>
                <w:sz w:val="20"/>
                <w:szCs w:val="20"/>
                <w:color w:val="auto"/>
              </w:rPr>
            </w:pPr>
            <w:r>
              <w:rPr>
                <w:rFonts w:ascii="Arial" w:cs="Arial" w:eastAsia="Arial" w:hAnsi="Arial"/>
                <w:sz w:val="17"/>
                <w:szCs w:val="17"/>
                <w:b w:val="1"/>
                <w:bCs w:val="1"/>
                <w:color w:val="auto"/>
                <w:w w:val="99"/>
              </w:rPr>
              <w:t>Delaware</w:t>
            </w: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3841</w:t>
            </w:r>
          </w:p>
        </w:tc>
        <w:tc>
          <w:tcPr>
            <w:tcW w:w="3040" w:type="dxa"/>
            <w:vAlign w:val="bottom"/>
          </w:tcPr>
          <w:p>
            <w:pPr>
              <w:jc w:val="center"/>
              <w:ind w:left="1504"/>
              <w:spacing w:after="0"/>
              <w:rPr>
                <w:sz w:val="20"/>
                <w:szCs w:val="20"/>
                <w:color w:val="auto"/>
              </w:rPr>
            </w:pPr>
            <w:r>
              <w:rPr>
                <w:rFonts w:ascii="Arial" w:cs="Arial" w:eastAsia="Arial" w:hAnsi="Arial"/>
                <w:sz w:val="17"/>
                <w:szCs w:val="17"/>
                <w:b w:val="1"/>
                <w:bCs w:val="1"/>
                <w:color w:val="auto"/>
                <w:w w:val="99"/>
              </w:rPr>
              <w:t>45-5320061</w:t>
            </w:r>
          </w:p>
        </w:tc>
      </w:tr>
      <w:tr>
        <w:trPr>
          <w:trHeight w:val="162"/>
        </w:trPr>
        <w:tc>
          <w:tcPr>
            <w:tcW w:w="3280" w:type="dxa"/>
            <w:vAlign w:val="bottom"/>
          </w:tcPr>
          <w:p>
            <w:pPr>
              <w:jc w:val="center"/>
              <w:ind w:right="1324"/>
              <w:spacing w:after="0"/>
              <w:rPr>
                <w:sz w:val="20"/>
                <w:szCs w:val="20"/>
                <w:color w:val="auto"/>
              </w:rPr>
            </w:pPr>
            <w:r>
              <w:rPr>
                <w:rFonts w:ascii="Arial" w:cs="Arial" w:eastAsia="Arial" w:hAnsi="Arial"/>
                <w:sz w:val="14"/>
                <w:szCs w:val="14"/>
                <w:color w:val="auto"/>
              </w:rPr>
              <w:t>(State or other jurisdiction of</w:t>
            </w:r>
          </w:p>
        </w:tc>
        <w:tc>
          <w:tcPr>
            <w:tcW w:w="1940" w:type="dxa"/>
            <w:vAlign w:val="bottom"/>
          </w:tcPr>
          <w:p>
            <w:pPr>
              <w:jc w:val="center"/>
              <w:spacing w:after="0"/>
              <w:rPr>
                <w:sz w:val="20"/>
                <w:szCs w:val="20"/>
                <w:color w:val="auto"/>
              </w:rPr>
            </w:pPr>
            <w:r>
              <w:rPr>
                <w:rFonts w:ascii="Arial" w:cs="Arial" w:eastAsia="Arial" w:hAnsi="Arial"/>
                <w:sz w:val="14"/>
                <w:szCs w:val="14"/>
                <w:color w:val="auto"/>
              </w:rPr>
              <w:t>(Primary Standard Industrial</w:t>
            </w:r>
          </w:p>
        </w:tc>
        <w:tc>
          <w:tcPr>
            <w:tcW w:w="3040" w:type="dxa"/>
            <w:vAlign w:val="bottom"/>
          </w:tcPr>
          <w:p>
            <w:pPr>
              <w:jc w:val="center"/>
              <w:ind w:left="1544"/>
              <w:spacing w:after="0"/>
              <w:rPr>
                <w:sz w:val="20"/>
                <w:szCs w:val="20"/>
                <w:color w:val="auto"/>
              </w:rPr>
            </w:pPr>
            <w:r>
              <w:rPr>
                <w:rFonts w:ascii="Arial" w:cs="Arial" w:eastAsia="Arial" w:hAnsi="Arial"/>
                <w:sz w:val="14"/>
                <w:szCs w:val="14"/>
                <w:color w:val="auto"/>
              </w:rPr>
              <w:t>(I.R.S. Employer</w:t>
            </w:r>
          </w:p>
        </w:tc>
      </w:tr>
      <w:tr>
        <w:trPr>
          <w:trHeight w:val="172"/>
        </w:trPr>
        <w:tc>
          <w:tcPr>
            <w:tcW w:w="3280" w:type="dxa"/>
            <w:vAlign w:val="bottom"/>
          </w:tcPr>
          <w:p>
            <w:pPr>
              <w:jc w:val="center"/>
              <w:ind w:right="1344"/>
              <w:spacing w:after="0"/>
              <w:rPr>
                <w:sz w:val="20"/>
                <w:szCs w:val="20"/>
                <w:color w:val="auto"/>
              </w:rPr>
            </w:pPr>
            <w:r>
              <w:rPr>
                <w:rFonts w:ascii="Arial" w:cs="Arial" w:eastAsia="Arial" w:hAnsi="Arial"/>
                <w:sz w:val="14"/>
                <w:szCs w:val="14"/>
                <w:color w:val="auto"/>
              </w:rPr>
              <w:t>incorporation or organization)</w:t>
            </w:r>
          </w:p>
        </w:tc>
        <w:tc>
          <w:tcPr>
            <w:tcW w:w="1940" w:type="dxa"/>
            <w:vAlign w:val="bottom"/>
          </w:tcPr>
          <w:p>
            <w:pPr>
              <w:jc w:val="center"/>
              <w:spacing w:after="0"/>
              <w:rPr>
                <w:sz w:val="20"/>
                <w:szCs w:val="20"/>
                <w:color w:val="auto"/>
              </w:rPr>
            </w:pPr>
            <w:r>
              <w:rPr>
                <w:rFonts w:ascii="Arial" w:cs="Arial" w:eastAsia="Arial" w:hAnsi="Arial"/>
                <w:sz w:val="14"/>
                <w:szCs w:val="14"/>
                <w:color w:val="auto"/>
              </w:rPr>
              <w:t>Classification Code Number)</w:t>
            </w:r>
          </w:p>
        </w:tc>
        <w:tc>
          <w:tcPr>
            <w:tcW w:w="3040" w:type="dxa"/>
            <w:vAlign w:val="bottom"/>
          </w:tcPr>
          <w:p>
            <w:pPr>
              <w:jc w:val="center"/>
              <w:ind w:left="1544"/>
              <w:spacing w:after="0"/>
              <w:rPr>
                <w:sz w:val="20"/>
                <w:szCs w:val="20"/>
                <w:color w:val="auto"/>
              </w:rPr>
            </w:pPr>
            <w:r>
              <w:rPr>
                <w:rFonts w:ascii="Arial" w:cs="Arial" w:eastAsia="Arial" w:hAnsi="Arial"/>
                <w:sz w:val="14"/>
                <w:szCs w:val="14"/>
                <w:color w:val="auto"/>
              </w:rPr>
              <w:t>Identification Number)</w:t>
            </w:r>
          </w:p>
        </w:tc>
      </w:tr>
      <w:tr>
        <w:trPr>
          <w:trHeight w:val="26"/>
        </w:trPr>
        <w:tc>
          <w:tcPr>
            <w:tcW w:w="32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40" w:type="dxa"/>
            <w:vAlign w:val="bottom"/>
          </w:tcPr>
          <w:p>
            <w:pPr>
              <w:spacing w:after="0"/>
              <w:rPr>
                <w:sz w:val="2"/>
                <w:szCs w:val="2"/>
                <w:color w:val="auto"/>
              </w:rPr>
            </w:pPr>
          </w:p>
        </w:tc>
      </w:tr>
    </w:tbl>
    <w:p>
      <w:pPr>
        <w:spacing w:after="0" w:line="41"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1 Great Valley Parkway, Suite 24</w:t>
      </w:r>
    </w:p>
    <w:p>
      <w:pPr>
        <w:jc w:val="center"/>
        <w:ind w:right="-459"/>
        <w:spacing w:after="0" w:line="198" w:lineRule="auto"/>
        <w:rPr>
          <w:sz w:val="20"/>
          <w:szCs w:val="20"/>
          <w:color w:val="auto"/>
        </w:rPr>
      </w:pPr>
      <w:r>
        <w:rPr>
          <w:rFonts w:ascii="Arial" w:cs="Arial" w:eastAsia="Arial" w:hAnsi="Arial"/>
          <w:sz w:val="17"/>
          <w:szCs w:val="17"/>
          <w:b w:val="1"/>
          <w:bCs w:val="1"/>
          <w:color w:val="auto"/>
        </w:rPr>
        <w:t>Malvern, Pennsylvania 19355</w:t>
      </w:r>
    </w:p>
    <w:p>
      <w:pPr>
        <w:spacing w:after="0" w:line="1" w:lineRule="exact"/>
        <w:rPr>
          <w:sz w:val="24"/>
          <w:szCs w:val="24"/>
          <w:color w:val="auto"/>
        </w:rPr>
      </w:pPr>
    </w:p>
    <w:p>
      <w:pPr>
        <w:jc w:val="center"/>
        <w:ind w:right="-519"/>
        <w:spacing w:after="0"/>
        <w:rPr>
          <w:sz w:val="20"/>
          <w:szCs w:val="20"/>
          <w:color w:val="auto"/>
        </w:rPr>
      </w:pPr>
      <w:r>
        <w:rPr>
          <w:rFonts w:ascii="Arial" w:cs="Arial" w:eastAsia="Arial" w:hAnsi="Arial"/>
          <w:sz w:val="17"/>
          <w:szCs w:val="17"/>
          <w:b w:val="1"/>
          <w:bCs w:val="1"/>
          <w:color w:val="auto"/>
        </w:rPr>
        <w:t>(484) 320-2930</w:t>
      </w:r>
    </w:p>
    <w:p>
      <w:pPr>
        <w:spacing w:after="0" w:line="4" w:lineRule="exact"/>
        <w:rPr>
          <w:sz w:val="24"/>
          <w:szCs w:val="24"/>
          <w:color w:val="auto"/>
        </w:rPr>
      </w:pPr>
    </w:p>
    <w:p>
      <w:pPr>
        <w:jc w:val="center"/>
        <w:ind w:right="-5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31750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17"/>
          <w:szCs w:val="17"/>
          <w:b w:val="1"/>
          <w:bCs w:val="1"/>
          <w:color w:val="auto"/>
        </w:rPr>
        <w:t>Antony Koblish</w:t>
      </w:r>
    </w:p>
    <w:p>
      <w:pPr>
        <w:jc w:val="center"/>
        <w:ind w:right="-519"/>
        <w:spacing w:after="0" w:line="198" w:lineRule="auto"/>
        <w:rPr>
          <w:sz w:val="20"/>
          <w:szCs w:val="20"/>
          <w:color w:val="auto"/>
        </w:rPr>
      </w:pPr>
      <w:r>
        <w:rPr>
          <w:rFonts w:ascii="Arial" w:cs="Arial" w:eastAsia="Arial" w:hAnsi="Arial"/>
          <w:sz w:val="17"/>
          <w:szCs w:val="17"/>
          <w:b w:val="1"/>
          <w:bCs w:val="1"/>
          <w:color w:val="auto"/>
        </w:rPr>
        <w:t>President and Chief Executive Officer</w:t>
      </w:r>
    </w:p>
    <w:p>
      <w:pPr>
        <w:jc w:val="center"/>
        <w:ind w:right="-519"/>
        <w:spacing w:after="0" w:line="199" w:lineRule="auto"/>
        <w:rPr>
          <w:sz w:val="20"/>
          <w:szCs w:val="20"/>
          <w:color w:val="auto"/>
        </w:rPr>
      </w:pPr>
      <w:r>
        <w:rPr>
          <w:rFonts w:ascii="Arial" w:cs="Arial" w:eastAsia="Arial" w:hAnsi="Arial"/>
          <w:sz w:val="17"/>
          <w:szCs w:val="17"/>
          <w:b w:val="1"/>
          <w:bCs w:val="1"/>
          <w:color w:val="auto"/>
        </w:rPr>
        <w:t>TELA Bio, Inc.</w:t>
      </w:r>
    </w:p>
    <w:p>
      <w:pPr>
        <w:jc w:val="center"/>
        <w:ind w:right="-519"/>
        <w:spacing w:after="0" w:line="199" w:lineRule="auto"/>
        <w:rPr>
          <w:sz w:val="20"/>
          <w:szCs w:val="20"/>
          <w:color w:val="auto"/>
        </w:rPr>
      </w:pPr>
      <w:r>
        <w:rPr>
          <w:rFonts w:ascii="Arial" w:cs="Arial" w:eastAsia="Arial" w:hAnsi="Arial"/>
          <w:sz w:val="17"/>
          <w:szCs w:val="17"/>
          <w:b w:val="1"/>
          <w:bCs w:val="1"/>
          <w:color w:val="auto"/>
        </w:rPr>
        <w:t>1 Great Valley Parkway, Suite 24, Malvern, Pennsylvania 19355</w:t>
      </w:r>
    </w:p>
    <w:p>
      <w:pPr>
        <w:spacing w:after="0" w:line="1" w:lineRule="exact"/>
        <w:rPr>
          <w:sz w:val="24"/>
          <w:szCs w:val="24"/>
          <w:color w:val="auto"/>
        </w:rPr>
      </w:pPr>
    </w:p>
    <w:p>
      <w:pPr>
        <w:jc w:val="center"/>
        <w:ind w:right="-519"/>
        <w:spacing w:after="0"/>
        <w:rPr>
          <w:sz w:val="20"/>
          <w:szCs w:val="20"/>
          <w:color w:val="auto"/>
        </w:rPr>
      </w:pPr>
      <w:r>
        <w:rPr>
          <w:rFonts w:ascii="Arial" w:cs="Arial" w:eastAsia="Arial" w:hAnsi="Arial"/>
          <w:sz w:val="17"/>
          <w:szCs w:val="17"/>
          <w:b w:val="1"/>
          <w:bCs w:val="1"/>
          <w:color w:val="auto"/>
        </w:rPr>
        <w:t>(484) 320-2930</w:t>
      </w:r>
    </w:p>
    <w:p>
      <w:pPr>
        <w:spacing w:after="0" w:line="18" w:lineRule="exact"/>
        <w:rPr>
          <w:sz w:val="24"/>
          <w:szCs w:val="24"/>
          <w:color w:val="auto"/>
        </w:rPr>
      </w:pPr>
    </w:p>
    <w:p>
      <w:pPr>
        <w:ind w:left="214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31750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72" w:lineRule="exact"/>
        <w:rPr>
          <w:sz w:val="24"/>
          <w:szCs w:val="24"/>
          <w:color w:val="auto"/>
        </w:rPr>
      </w:pPr>
    </w:p>
    <w:tbl>
      <w:tblPr>
        <w:tblLayout w:type="fixed"/>
        <w:tblInd w:w="1520" w:type="dxa"/>
        <w:tblCellMar>
          <w:top w:w="0" w:type="dxa"/>
          <w:left w:w="0" w:type="dxa"/>
          <w:bottom w:w="0" w:type="dxa"/>
          <w:right w:w="0" w:type="dxa"/>
        </w:tblCellMar>
      </w:tblPr>
      <w:tr>
        <w:trPr>
          <w:trHeight w:val="225"/>
        </w:trPr>
        <w:tc>
          <w:tcPr>
            <w:tcW w:w="3060" w:type="dxa"/>
            <w:vAlign w:val="bottom"/>
          </w:tcPr>
          <w:p>
            <w:pPr>
              <w:spacing w:after="0"/>
              <w:rPr>
                <w:sz w:val="19"/>
                <w:szCs w:val="19"/>
                <w:color w:val="auto"/>
              </w:rPr>
            </w:pPr>
          </w:p>
        </w:tc>
        <w:tc>
          <w:tcPr>
            <w:tcW w:w="4340" w:type="dxa"/>
            <w:vAlign w:val="bottom"/>
          </w:tcPr>
          <w:p>
            <w:pPr>
              <w:ind w:left="360"/>
              <w:spacing w:after="0"/>
              <w:rPr>
                <w:sz w:val="20"/>
                <w:szCs w:val="20"/>
                <w:color w:val="auto"/>
              </w:rPr>
            </w:pPr>
            <w:r>
              <w:rPr>
                <w:rFonts w:ascii="Arial" w:cs="Arial" w:eastAsia="Arial" w:hAnsi="Arial"/>
                <w:sz w:val="17"/>
                <w:szCs w:val="17"/>
                <w:b w:val="1"/>
                <w:bCs w:val="1"/>
                <w:i w:val="1"/>
                <w:iCs w:val="1"/>
                <w:color w:val="auto"/>
              </w:rPr>
              <w:t>Copies to:</w:t>
            </w:r>
          </w:p>
        </w:tc>
      </w:tr>
      <w:tr>
        <w:trPr>
          <w:trHeight w:val="274"/>
        </w:trPr>
        <w:tc>
          <w:tcPr>
            <w:tcW w:w="3060" w:type="dxa"/>
            <w:vAlign w:val="bottom"/>
          </w:tcPr>
          <w:p>
            <w:pPr>
              <w:jc w:val="center"/>
              <w:ind w:right="275"/>
              <w:spacing w:after="0"/>
              <w:rPr>
                <w:sz w:val="20"/>
                <w:szCs w:val="20"/>
                <w:color w:val="auto"/>
              </w:rPr>
            </w:pPr>
            <w:r>
              <w:rPr>
                <w:rFonts w:ascii="Arial" w:cs="Arial" w:eastAsia="Arial" w:hAnsi="Arial"/>
                <w:sz w:val="17"/>
                <w:szCs w:val="17"/>
                <w:b w:val="1"/>
                <w:bCs w:val="1"/>
                <w:color w:val="auto"/>
                <w:w w:val="99"/>
              </w:rPr>
              <w:t>Rachael M. Bushey</w:t>
            </w:r>
          </w:p>
        </w:tc>
        <w:tc>
          <w:tcPr>
            <w:tcW w:w="4340" w:type="dxa"/>
            <w:vAlign w:val="bottom"/>
          </w:tcPr>
          <w:p>
            <w:pPr>
              <w:jc w:val="center"/>
              <w:ind w:left="2075"/>
              <w:spacing w:after="0"/>
              <w:rPr>
                <w:sz w:val="20"/>
                <w:szCs w:val="20"/>
                <w:color w:val="auto"/>
              </w:rPr>
            </w:pPr>
            <w:r>
              <w:rPr>
                <w:rFonts w:ascii="Arial" w:cs="Arial" w:eastAsia="Arial" w:hAnsi="Arial"/>
                <w:sz w:val="17"/>
                <w:szCs w:val="17"/>
                <w:b w:val="1"/>
                <w:bCs w:val="1"/>
                <w:color w:val="auto"/>
              </w:rPr>
              <w:t>Marc D. Jaffe</w:t>
            </w:r>
          </w:p>
        </w:tc>
      </w:tr>
      <w:tr>
        <w:trPr>
          <w:trHeight w:val="162"/>
        </w:trPr>
        <w:tc>
          <w:tcPr>
            <w:tcW w:w="3060" w:type="dxa"/>
            <w:vAlign w:val="bottom"/>
          </w:tcPr>
          <w:p>
            <w:pPr>
              <w:jc w:val="center"/>
              <w:ind w:right="275"/>
              <w:spacing w:after="0" w:line="162" w:lineRule="exact"/>
              <w:rPr>
                <w:sz w:val="20"/>
                <w:szCs w:val="20"/>
                <w:color w:val="auto"/>
              </w:rPr>
            </w:pPr>
            <w:r>
              <w:rPr>
                <w:rFonts w:ascii="Arial" w:cs="Arial" w:eastAsia="Arial" w:hAnsi="Arial"/>
                <w:sz w:val="17"/>
                <w:szCs w:val="17"/>
                <w:b w:val="1"/>
                <w:bCs w:val="1"/>
                <w:color w:val="auto"/>
              </w:rPr>
              <w:t>Jennifer Porter</w:t>
            </w:r>
          </w:p>
        </w:tc>
        <w:tc>
          <w:tcPr>
            <w:tcW w:w="4340" w:type="dxa"/>
            <w:vAlign w:val="bottom"/>
          </w:tcPr>
          <w:p>
            <w:pPr>
              <w:jc w:val="center"/>
              <w:ind w:left="2075"/>
              <w:spacing w:after="0" w:line="162" w:lineRule="exact"/>
              <w:rPr>
                <w:sz w:val="20"/>
                <w:szCs w:val="20"/>
                <w:color w:val="auto"/>
              </w:rPr>
            </w:pPr>
            <w:r>
              <w:rPr>
                <w:rFonts w:ascii="Arial" w:cs="Arial" w:eastAsia="Arial" w:hAnsi="Arial"/>
                <w:sz w:val="17"/>
                <w:szCs w:val="17"/>
                <w:b w:val="1"/>
                <w:bCs w:val="1"/>
                <w:color w:val="auto"/>
              </w:rPr>
              <w:t>Nathan Ajiashvili</w:t>
            </w:r>
          </w:p>
        </w:tc>
      </w:tr>
      <w:tr>
        <w:trPr>
          <w:trHeight w:val="162"/>
        </w:trPr>
        <w:tc>
          <w:tcPr>
            <w:tcW w:w="3060" w:type="dxa"/>
            <w:vAlign w:val="bottom"/>
          </w:tcPr>
          <w:p>
            <w:pPr>
              <w:jc w:val="center"/>
              <w:ind w:right="275"/>
              <w:spacing w:after="0" w:line="162" w:lineRule="exact"/>
              <w:rPr>
                <w:sz w:val="20"/>
                <w:szCs w:val="20"/>
                <w:color w:val="auto"/>
              </w:rPr>
            </w:pPr>
            <w:r>
              <w:rPr>
                <w:rFonts w:ascii="Arial" w:cs="Arial" w:eastAsia="Arial" w:hAnsi="Arial"/>
                <w:sz w:val="17"/>
                <w:szCs w:val="17"/>
                <w:b w:val="1"/>
                <w:bCs w:val="1"/>
                <w:color w:val="auto"/>
              </w:rPr>
              <w:t>Pepper Hamilton LLP</w:t>
            </w:r>
          </w:p>
        </w:tc>
        <w:tc>
          <w:tcPr>
            <w:tcW w:w="4340" w:type="dxa"/>
            <w:vAlign w:val="bottom"/>
          </w:tcPr>
          <w:p>
            <w:pPr>
              <w:jc w:val="center"/>
              <w:ind w:left="2095"/>
              <w:spacing w:after="0" w:line="162" w:lineRule="exact"/>
              <w:rPr>
                <w:sz w:val="20"/>
                <w:szCs w:val="20"/>
                <w:color w:val="auto"/>
              </w:rPr>
            </w:pPr>
            <w:r>
              <w:rPr>
                <w:rFonts w:ascii="Arial" w:cs="Arial" w:eastAsia="Arial" w:hAnsi="Arial"/>
                <w:sz w:val="17"/>
                <w:szCs w:val="17"/>
                <w:b w:val="1"/>
                <w:bCs w:val="1"/>
                <w:color w:val="auto"/>
                <w:w w:val="99"/>
              </w:rPr>
              <w:t>Latham &amp; Watkins LLP</w:t>
            </w:r>
          </w:p>
        </w:tc>
      </w:tr>
      <w:tr>
        <w:trPr>
          <w:trHeight w:val="162"/>
        </w:trPr>
        <w:tc>
          <w:tcPr>
            <w:tcW w:w="3060" w:type="dxa"/>
            <w:vAlign w:val="bottom"/>
          </w:tcPr>
          <w:p>
            <w:pPr>
              <w:jc w:val="center"/>
              <w:ind w:right="275"/>
              <w:spacing w:after="0" w:line="162" w:lineRule="exact"/>
              <w:rPr>
                <w:sz w:val="20"/>
                <w:szCs w:val="20"/>
                <w:color w:val="auto"/>
              </w:rPr>
            </w:pPr>
            <w:r>
              <w:rPr>
                <w:rFonts w:ascii="Arial" w:cs="Arial" w:eastAsia="Arial" w:hAnsi="Arial"/>
                <w:sz w:val="17"/>
                <w:szCs w:val="17"/>
                <w:b w:val="1"/>
                <w:bCs w:val="1"/>
                <w:color w:val="auto"/>
                <w:w w:val="99"/>
              </w:rPr>
              <w:t>3000 Two Logan Square</w:t>
            </w:r>
          </w:p>
        </w:tc>
        <w:tc>
          <w:tcPr>
            <w:tcW w:w="4340" w:type="dxa"/>
            <w:vAlign w:val="bottom"/>
          </w:tcPr>
          <w:p>
            <w:pPr>
              <w:jc w:val="center"/>
              <w:ind w:left="2075"/>
              <w:spacing w:after="0" w:line="162" w:lineRule="exact"/>
              <w:rPr>
                <w:sz w:val="20"/>
                <w:szCs w:val="20"/>
                <w:color w:val="auto"/>
              </w:rPr>
            </w:pPr>
            <w:r>
              <w:rPr>
                <w:rFonts w:ascii="Arial" w:cs="Arial" w:eastAsia="Arial" w:hAnsi="Arial"/>
                <w:sz w:val="17"/>
                <w:szCs w:val="17"/>
                <w:b w:val="1"/>
                <w:bCs w:val="1"/>
                <w:color w:val="auto"/>
              </w:rPr>
              <w:t>885 Third Avenue</w:t>
            </w:r>
          </w:p>
        </w:tc>
      </w:tr>
      <w:tr>
        <w:trPr>
          <w:trHeight w:val="162"/>
        </w:trPr>
        <w:tc>
          <w:tcPr>
            <w:tcW w:w="3060" w:type="dxa"/>
            <w:vAlign w:val="bottom"/>
          </w:tcPr>
          <w:p>
            <w:pPr>
              <w:jc w:val="center"/>
              <w:ind w:right="275"/>
              <w:spacing w:after="0" w:line="162" w:lineRule="exact"/>
              <w:rPr>
                <w:sz w:val="20"/>
                <w:szCs w:val="20"/>
                <w:color w:val="auto"/>
              </w:rPr>
            </w:pPr>
            <w:r>
              <w:rPr>
                <w:rFonts w:ascii="Arial" w:cs="Arial" w:eastAsia="Arial" w:hAnsi="Arial"/>
                <w:sz w:val="17"/>
                <w:szCs w:val="17"/>
                <w:b w:val="1"/>
                <w:bCs w:val="1"/>
                <w:color w:val="auto"/>
                <w:w w:val="99"/>
              </w:rPr>
              <w:t>Philadelphia, Pennsylvania 19103</w:t>
            </w:r>
          </w:p>
        </w:tc>
        <w:tc>
          <w:tcPr>
            <w:tcW w:w="4340" w:type="dxa"/>
            <w:vAlign w:val="bottom"/>
          </w:tcPr>
          <w:p>
            <w:pPr>
              <w:jc w:val="center"/>
              <w:ind w:left="2095"/>
              <w:spacing w:after="0" w:line="162" w:lineRule="exact"/>
              <w:rPr>
                <w:sz w:val="20"/>
                <w:szCs w:val="20"/>
                <w:color w:val="auto"/>
              </w:rPr>
            </w:pPr>
            <w:r>
              <w:rPr>
                <w:rFonts w:ascii="Arial" w:cs="Arial" w:eastAsia="Arial" w:hAnsi="Arial"/>
                <w:sz w:val="17"/>
                <w:szCs w:val="17"/>
                <w:b w:val="1"/>
                <w:bCs w:val="1"/>
                <w:color w:val="auto"/>
                <w:w w:val="99"/>
              </w:rPr>
              <w:t>New York, New York 10022</w:t>
            </w:r>
          </w:p>
        </w:tc>
      </w:tr>
      <w:tr>
        <w:trPr>
          <w:trHeight w:val="225"/>
        </w:trPr>
        <w:tc>
          <w:tcPr>
            <w:tcW w:w="3060" w:type="dxa"/>
            <w:vAlign w:val="bottom"/>
          </w:tcPr>
          <w:p>
            <w:pPr>
              <w:jc w:val="center"/>
              <w:ind w:right="275"/>
              <w:spacing w:after="0"/>
              <w:rPr>
                <w:sz w:val="20"/>
                <w:szCs w:val="20"/>
                <w:color w:val="auto"/>
              </w:rPr>
            </w:pPr>
            <w:r>
              <w:rPr>
                <w:rFonts w:ascii="Arial" w:cs="Arial" w:eastAsia="Arial" w:hAnsi="Arial"/>
                <w:sz w:val="17"/>
                <w:szCs w:val="17"/>
                <w:b w:val="1"/>
                <w:bCs w:val="1"/>
                <w:color w:val="auto"/>
              </w:rPr>
              <w:t>(215) 981-4331</w:t>
            </w:r>
          </w:p>
        </w:tc>
        <w:tc>
          <w:tcPr>
            <w:tcW w:w="4340" w:type="dxa"/>
            <w:vAlign w:val="bottom"/>
          </w:tcPr>
          <w:p>
            <w:pPr>
              <w:jc w:val="center"/>
              <w:ind w:left="2095"/>
              <w:spacing w:after="0"/>
              <w:rPr>
                <w:sz w:val="20"/>
                <w:szCs w:val="20"/>
                <w:color w:val="auto"/>
              </w:rPr>
            </w:pPr>
            <w:r>
              <w:rPr>
                <w:rFonts w:ascii="Arial" w:cs="Arial" w:eastAsia="Arial" w:hAnsi="Arial"/>
                <w:sz w:val="17"/>
                <w:szCs w:val="17"/>
                <w:b w:val="1"/>
                <w:bCs w:val="1"/>
                <w:color w:val="auto"/>
                <w:w w:val="99"/>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3175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6" w:lineRule="exact"/>
        <w:rPr>
          <w:sz w:val="24"/>
          <w:szCs w:val="24"/>
          <w:color w:val="auto"/>
        </w:rPr>
      </w:pPr>
    </w:p>
    <w:p>
      <w:pPr>
        <w:jc w:val="center"/>
        <w:ind w:right="-519"/>
        <w:spacing w:after="0"/>
        <w:rPr>
          <w:sz w:val="20"/>
          <w:szCs w:val="20"/>
          <w:color w:val="auto"/>
        </w:rPr>
      </w:pPr>
      <w:r>
        <w:rPr>
          <w:rFonts w:ascii="Arial" w:cs="Arial" w:eastAsia="Arial" w:hAnsi="Arial"/>
          <w:sz w:val="17"/>
          <w:szCs w:val="17"/>
          <w:b w:val="1"/>
          <w:bCs w:val="1"/>
          <w:color w:val="auto"/>
        </w:rPr>
        <w:t>Approximate date of commencement of proposed sale to the public:</w:t>
      </w:r>
    </w:p>
    <w:p>
      <w:pPr>
        <w:jc w:val="center"/>
        <w:ind w:right="-519"/>
        <w:spacing w:after="0"/>
        <w:rPr>
          <w:sz w:val="20"/>
          <w:szCs w:val="20"/>
          <w:color w:val="auto"/>
        </w:rPr>
      </w:pPr>
      <w:r>
        <w:rPr>
          <w:rFonts w:ascii="Arial" w:cs="Arial" w:eastAsia="Arial" w:hAnsi="Arial"/>
          <w:sz w:val="17"/>
          <w:szCs w:val="17"/>
          <w:b w:val="1"/>
          <w:bCs w:val="1"/>
          <w:color w:val="auto"/>
        </w:rPr>
        <w:t>As soon as practicable after the effective date of this Registration Statement.</w:t>
      </w:r>
    </w:p>
    <w:p>
      <w:pPr>
        <w:spacing w:after="0" w:line="4" w:lineRule="exact"/>
        <w:rPr>
          <w:sz w:val="24"/>
          <w:szCs w:val="24"/>
          <w:color w:val="auto"/>
        </w:rPr>
      </w:pPr>
    </w:p>
    <w:p>
      <w:pPr>
        <w:ind w:left="500" w:right="80"/>
        <w:spacing w:after="0" w:line="149"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60"/>
        <w:spacing w:after="0" w:line="14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500" w:right="460"/>
        <w:spacing w:after="0" w:line="14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500" w:right="460"/>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00"/>
        <w:spacing w:after="0" w:line="21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jc w:val="right"/>
        <w:ind w:left="500" w:right="300"/>
        <w:spacing w:after="0" w:line="217"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354" w:lineRule="exact"/>
        <w:rPr>
          <w:sz w:val="24"/>
          <w:szCs w:val="24"/>
          <w:color w:val="auto"/>
        </w:rPr>
      </w:pPr>
    </w:p>
    <w:p>
      <w:pPr>
        <w:ind w:left="500" w:right="40"/>
        <w:spacing w:after="0" w:line="16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24130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89"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20320</wp:posOffset>
            </wp:positionV>
            <wp:extent cx="6180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11" w:lineRule="exact"/>
        <w:rPr>
          <w:sz w:val="24"/>
          <w:szCs w:val="24"/>
          <w:color w:val="auto"/>
        </w:rPr>
      </w:pPr>
    </w:p>
    <w:tbl>
      <w:tblPr>
        <w:tblLayout w:type="fixed"/>
        <w:tblInd w:w="500" w:type="dxa"/>
        <w:tblCellMar>
          <w:top w:w="0" w:type="dxa"/>
          <w:left w:w="0" w:type="dxa"/>
          <w:bottom w:w="0" w:type="dxa"/>
          <w:right w:w="0" w:type="dxa"/>
        </w:tblCellMar>
      </w:tblPr>
      <w:tr>
        <w:trPr>
          <w:trHeight w:val="149"/>
        </w:trPr>
        <w:tc>
          <w:tcPr>
            <w:tcW w:w="4120" w:type="dxa"/>
            <w:vAlign w:val="bottom"/>
          </w:tcPr>
          <w:p>
            <w:pPr>
              <w:spacing w:after="0"/>
              <w:rPr>
                <w:sz w:val="12"/>
                <w:szCs w:val="12"/>
                <w:color w:val="auto"/>
              </w:rPr>
            </w:pPr>
          </w:p>
        </w:tc>
        <w:tc>
          <w:tcPr>
            <w:tcW w:w="2220" w:type="dxa"/>
            <w:vAlign w:val="bottom"/>
            <w:vMerge w:val="restart"/>
          </w:tcPr>
          <w:p>
            <w:pPr>
              <w:jc w:val="center"/>
              <w:ind w:left="1195"/>
              <w:spacing w:after="0"/>
              <w:rPr>
                <w:sz w:val="20"/>
                <w:szCs w:val="20"/>
                <w:color w:val="auto"/>
              </w:rPr>
            </w:pPr>
            <w:r>
              <w:rPr>
                <w:rFonts w:ascii="Arial" w:cs="Arial" w:eastAsia="Arial" w:hAnsi="Arial"/>
                <w:sz w:val="13"/>
                <w:szCs w:val="13"/>
                <w:b w:val="1"/>
                <w:bCs w:val="1"/>
                <w:color w:val="auto"/>
                <w:w w:val="97"/>
              </w:rPr>
              <w:t>Amount</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6"/>
              </w:rPr>
              <w:t>Proposed</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6"/>
              </w:rPr>
              <w:t>Proposed</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120" w:type="dxa"/>
            <w:vAlign w:val="bottom"/>
            <w:vMerge w:val="restart"/>
          </w:tcPr>
          <w:p>
            <w:pPr>
              <w:spacing w:after="0"/>
              <w:rPr>
                <w:sz w:val="20"/>
                <w:szCs w:val="20"/>
                <w:color w:val="auto"/>
              </w:rPr>
            </w:pPr>
            <w:r>
              <w:rPr>
                <w:rFonts w:ascii="Arial" w:cs="Arial" w:eastAsia="Arial" w:hAnsi="Arial"/>
                <w:sz w:val="13"/>
                <w:szCs w:val="13"/>
                <w:b w:val="1"/>
                <w:bCs w:val="1"/>
                <w:color w:val="auto"/>
              </w:rPr>
              <w:t>Title of Each Class of</w:t>
            </w:r>
          </w:p>
        </w:tc>
        <w:tc>
          <w:tcPr>
            <w:tcW w:w="2220" w:type="dxa"/>
            <w:vAlign w:val="bottom"/>
            <w:vMerge w:val="continue"/>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Maximum</w:t>
            </w:r>
          </w:p>
        </w:tc>
        <w:tc>
          <w:tcPr>
            <w:tcW w:w="12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Maximum</w:t>
            </w:r>
          </w:p>
        </w:tc>
        <w:tc>
          <w:tcPr>
            <w:tcW w:w="1080" w:type="dxa"/>
            <w:vAlign w:val="bottom"/>
            <w:vMerge w:val="restart"/>
          </w:tcPr>
          <w:p>
            <w:pPr>
              <w:jc w:val="center"/>
              <w:ind w:left="34"/>
              <w:spacing w:after="0"/>
              <w:rPr>
                <w:sz w:val="20"/>
                <w:szCs w:val="20"/>
                <w:color w:val="auto"/>
              </w:rPr>
            </w:pPr>
            <w:r>
              <w:rPr>
                <w:rFonts w:ascii="Arial" w:cs="Arial" w:eastAsia="Arial" w:hAnsi="Arial"/>
                <w:sz w:val="13"/>
                <w:szCs w:val="13"/>
                <w:b w:val="1"/>
                <w:bCs w:val="1"/>
                <w:color w:val="auto"/>
                <w:w w:val="95"/>
              </w:rPr>
              <w:t>Amount of</w:t>
            </w:r>
          </w:p>
        </w:tc>
        <w:tc>
          <w:tcPr>
            <w:tcW w:w="0" w:type="dxa"/>
            <w:vAlign w:val="bottom"/>
          </w:tcPr>
          <w:p>
            <w:pPr>
              <w:spacing w:after="0"/>
              <w:rPr>
                <w:sz w:val="1"/>
                <w:szCs w:val="1"/>
                <w:color w:val="auto"/>
              </w:rPr>
            </w:pPr>
          </w:p>
        </w:tc>
      </w:tr>
      <w:tr>
        <w:trPr>
          <w:trHeight w:val="121"/>
        </w:trPr>
        <w:tc>
          <w:tcPr>
            <w:tcW w:w="4120" w:type="dxa"/>
            <w:vAlign w:val="bottom"/>
            <w:vMerge w:val="continue"/>
          </w:tcPr>
          <w:p>
            <w:pPr>
              <w:spacing w:after="0"/>
              <w:rPr>
                <w:sz w:val="10"/>
                <w:szCs w:val="10"/>
                <w:color w:val="auto"/>
              </w:rPr>
            </w:pPr>
          </w:p>
        </w:tc>
        <w:tc>
          <w:tcPr>
            <w:tcW w:w="2220" w:type="dxa"/>
            <w:vAlign w:val="bottom"/>
          </w:tcPr>
          <w:p>
            <w:pPr>
              <w:jc w:val="center"/>
              <w:ind w:left="1175"/>
              <w:spacing w:after="0" w:line="122" w:lineRule="exact"/>
              <w:rPr>
                <w:sz w:val="20"/>
                <w:szCs w:val="20"/>
                <w:color w:val="auto"/>
              </w:rPr>
            </w:pPr>
            <w:r>
              <w:rPr>
                <w:rFonts w:ascii="Arial" w:cs="Arial" w:eastAsia="Arial" w:hAnsi="Arial"/>
                <w:sz w:val="13"/>
                <w:szCs w:val="13"/>
                <w:b w:val="1"/>
                <w:bCs w:val="1"/>
                <w:color w:val="auto"/>
                <w:w w:val="96"/>
              </w:rPr>
              <w:t>to be</w:t>
            </w: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Offering Price</w:t>
            </w:r>
          </w:p>
        </w:tc>
        <w:tc>
          <w:tcPr>
            <w:tcW w:w="12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9"/>
              </w:rPr>
              <w:t>Aggregate</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Securities to be Registered</w:t>
            </w:r>
          </w:p>
        </w:tc>
        <w:tc>
          <w:tcPr>
            <w:tcW w:w="2220" w:type="dxa"/>
            <w:vAlign w:val="bottom"/>
            <w:tcBorders>
              <w:bottom w:val="single" w:sz="8" w:color="auto"/>
            </w:tcBorders>
          </w:tcPr>
          <w:p>
            <w:pPr>
              <w:jc w:val="center"/>
              <w:ind w:left="1175"/>
              <w:spacing w:after="0" w:line="203" w:lineRule="exact"/>
              <w:rPr>
                <w:sz w:val="20"/>
                <w:szCs w:val="20"/>
                <w:color w:val="auto"/>
              </w:rPr>
            </w:pPr>
            <w:r>
              <w:rPr>
                <w:rFonts w:ascii="Arial" w:cs="Arial" w:eastAsia="Arial" w:hAnsi="Arial"/>
                <w:sz w:val="13"/>
                <w:szCs w:val="13"/>
                <w:b w:val="1"/>
                <w:bCs w:val="1"/>
                <w:color w:val="auto"/>
                <w:w w:val="94"/>
              </w:rPr>
              <w:t>Registered</w:t>
            </w:r>
            <w:r>
              <w:rPr>
                <w:rFonts w:ascii="Arial" w:cs="Arial" w:eastAsia="Arial" w:hAnsi="Arial"/>
                <w:sz w:val="19"/>
                <w:szCs w:val="19"/>
                <w:b w:val="1"/>
                <w:bCs w:val="1"/>
                <w:color w:val="auto"/>
                <w:w w:val="94"/>
                <w:vertAlign w:val="superscript"/>
              </w:rPr>
              <w:t>(1)</w:t>
            </w:r>
          </w:p>
        </w:tc>
        <w:tc>
          <w:tcPr>
            <w:tcW w:w="10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3"/>
                <w:szCs w:val="13"/>
                <w:b w:val="1"/>
                <w:bCs w:val="1"/>
                <w:color w:val="auto"/>
                <w:w w:val="91"/>
              </w:rPr>
              <w:t>Per Share</w:t>
            </w:r>
            <w:r>
              <w:rPr>
                <w:rFonts w:ascii="Arial" w:cs="Arial" w:eastAsia="Arial" w:hAnsi="Arial"/>
                <w:sz w:val="19"/>
                <w:szCs w:val="19"/>
                <w:b w:val="1"/>
                <w:bCs w:val="1"/>
                <w:color w:val="auto"/>
                <w:w w:val="91"/>
                <w:vertAlign w:val="superscript"/>
              </w:rPr>
              <w:t>(2)</w:t>
            </w:r>
          </w:p>
        </w:tc>
        <w:tc>
          <w:tcPr>
            <w:tcW w:w="12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3"/>
                <w:szCs w:val="13"/>
                <w:b w:val="1"/>
                <w:bCs w:val="1"/>
                <w:color w:val="auto"/>
                <w:w w:val="92"/>
              </w:rPr>
              <w:t>Offering Price</w:t>
            </w:r>
            <w:r>
              <w:rPr>
                <w:rFonts w:ascii="Arial" w:cs="Arial" w:eastAsia="Arial" w:hAnsi="Arial"/>
                <w:sz w:val="19"/>
                <w:szCs w:val="19"/>
                <w:b w:val="1"/>
                <w:bCs w:val="1"/>
                <w:color w:val="auto"/>
                <w:w w:val="92"/>
                <w:vertAlign w:val="superscript"/>
              </w:rPr>
              <w:t>(1)(2)</w:t>
            </w:r>
          </w:p>
        </w:tc>
        <w:tc>
          <w:tcPr>
            <w:tcW w:w="108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auto"/>
                <w:w w:val="96"/>
              </w:rPr>
              <w:t>Registration Fee</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Common stock, $0.001 par value per share</w:t>
            </w:r>
          </w:p>
        </w:tc>
        <w:tc>
          <w:tcPr>
            <w:tcW w:w="2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3,450,000</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$ 21.59</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  74,485,500</w:t>
            </w:r>
          </w:p>
        </w:tc>
        <w:tc>
          <w:tcPr>
            <w:tcW w:w="1080" w:type="dxa"/>
            <w:vAlign w:val="bottom"/>
            <w:tcBorders>
              <w:bottom w:val="single" w:sz="8" w:color="auto"/>
            </w:tcBorders>
            <w:shd w:val="clear" w:color="auto" w:fill="CCEEFF"/>
          </w:tcPr>
          <w:p>
            <w:pPr>
              <w:jc w:val="center"/>
              <w:ind w:left="14"/>
              <w:spacing w:after="0"/>
              <w:rPr>
                <w:sz w:val="20"/>
                <w:szCs w:val="20"/>
                <w:color w:val="auto"/>
              </w:rPr>
            </w:pPr>
            <w:r>
              <w:rPr>
                <w:rFonts w:ascii="Arial" w:cs="Arial" w:eastAsia="Arial" w:hAnsi="Arial"/>
                <w:sz w:val="14"/>
                <w:szCs w:val="14"/>
                <w:color w:val="auto"/>
              </w:rPr>
              <w:t>$ 9,669</w:t>
            </w:r>
          </w:p>
        </w:tc>
        <w:tc>
          <w:tcPr>
            <w:tcW w:w="0" w:type="dxa"/>
            <w:vAlign w:val="bottom"/>
          </w:tcPr>
          <w:p>
            <w:pPr>
              <w:spacing w:after="0"/>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4"/>
          <w:szCs w:val="24"/>
          <w:color w:val="auto"/>
        </w:rPr>
      </w:pPr>
    </w:p>
    <w:p>
      <w:pPr>
        <w:ind w:left="860" w:hanging="366"/>
        <w:spacing w:after="0"/>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offering price of any additional shares of our common stock that the underwriters have the option to purchase.</w:t>
      </w:r>
    </w:p>
    <w:p>
      <w:pPr>
        <w:ind w:left="860" w:right="100" w:hanging="366"/>
        <w:spacing w:after="0"/>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In accordance with Rule 457(c) under the Securities Act of 1933, as amended, the maximum price per share and maximum aggregate offering price are based on the average of the $22.80 (high) and $20.38 (low) sale price of the registrant’s common stock as reported on The Nasdaq Global Market on June 22, 2020, which date is within five business days prior to filing this Registration Statement.</w:t>
      </w:r>
    </w:p>
    <w:p>
      <w:pPr>
        <w:spacing w:after="0" w:line="3" w:lineRule="exact"/>
        <w:rPr>
          <w:sz w:val="24"/>
          <w:szCs w:val="24"/>
          <w:color w:val="auto"/>
        </w:rPr>
      </w:pPr>
    </w:p>
    <w:p>
      <w:pPr>
        <w:ind w:left="500" w:right="280"/>
        <w:spacing w:after="0" w:line="22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26035</wp:posOffset>
            </wp:positionV>
            <wp:extent cx="61893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77470</wp:posOffset>
            </wp:positionV>
            <wp:extent cx="618934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239" w:right="1359"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ectPr>
          <w:pgSz w:w="11900" w:h="16838" w:orient="portrait"/>
          <w:cols w:equalWidth="0" w:num="1">
            <w:col w:w="10240"/>
          </w:cols>
          <w:pgMar w:left="320" w:top="131" w:right="1339" w:bottom="1440" w:gutter="0" w:footer="0" w:header="0"/>
        </w:sectPr>
      </w:pPr>
    </w:p>
    <w:p>
      <w:pPr>
        <w:spacing w:after="0" w:line="200" w:lineRule="exact"/>
        <w:rPr>
          <w:sz w:val="20"/>
          <w:szCs w:val="20"/>
          <w:color w:val="auto"/>
        </w:rPr>
      </w:pPr>
    </w:p>
    <w:p>
      <w:pPr>
        <w:spacing w:after="0" w:line="343" w:lineRule="exact"/>
        <w:rPr>
          <w:sz w:val="20"/>
          <w:szCs w:val="20"/>
          <w:color w:val="auto"/>
        </w:rPr>
      </w:pPr>
    </w:p>
    <w:tbl>
      <w:tblPr>
        <w:tblLayout w:type="fixed"/>
        <w:tblInd w:w="440" w:type="dxa"/>
        <w:tblCellMar>
          <w:top w:w="0" w:type="dxa"/>
          <w:left w:w="0" w:type="dxa"/>
          <w:bottom w:w="0" w:type="dxa"/>
          <w:right w:w="0" w:type="dxa"/>
        </w:tblCellMar>
      </w:tblPr>
      <w:tr>
        <w:trPr>
          <w:trHeight w:val="1883"/>
        </w:trPr>
        <w:tc>
          <w:tcPr>
            <w:tcW w:w="160" w:type="dxa"/>
            <w:vAlign w:val="bottom"/>
            <w:textDirection w:val="btLr"/>
          </w:tcPr>
          <w:p>
            <w:pPr>
              <w:spacing w:after="0"/>
              <w:rPr>
                <w:sz w:val="20"/>
                <w:szCs w:val="20"/>
                <w:color w:val="auto"/>
              </w:rPr>
            </w:pPr>
            <w:r>
              <w:rPr>
                <w:rFonts w:ascii="Arial" w:cs="Arial" w:eastAsia="Arial" w:hAnsi="Arial"/>
                <w:sz w:val="14"/>
                <w:szCs w:val="14"/>
                <w:color w:val="E45D50"/>
              </w:rPr>
              <w:t>and Exchange Commission is</w:t>
            </w:r>
          </w:p>
        </w:tc>
        <w:tc>
          <w:tcPr>
            <w:tcW w:w="140" w:type="dxa"/>
            <w:vAlign w:val="bottom"/>
            <w:textDirection w:val="btLr"/>
          </w:tcPr>
          <w:p>
            <w:pPr>
              <w:spacing w:after="0"/>
              <w:rPr>
                <w:sz w:val="20"/>
                <w:szCs w:val="20"/>
                <w:color w:val="auto"/>
              </w:rPr>
            </w:pPr>
            <w:r>
              <w:rPr>
                <w:rFonts w:ascii="Arial" w:cs="Arial" w:eastAsia="Arial" w:hAnsi="Arial"/>
                <w:sz w:val="14"/>
                <w:szCs w:val="14"/>
                <w:color w:val="E45D50"/>
              </w:rPr>
              <w:t>not permitted.</w:t>
            </w:r>
          </w:p>
        </w:tc>
      </w:tr>
      <w:tr>
        <w:trPr>
          <w:trHeight w:val="632"/>
        </w:trPr>
        <w:tc>
          <w:tcPr>
            <w:tcW w:w="160" w:type="dxa"/>
            <w:vAlign w:val="bottom"/>
            <w:textDirection w:val="btLr"/>
          </w:tcPr>
          <w:p>
            <w:pPr>
              <w:spacing w:after="0"/>
              <w:rPr>
                <w:sz w:val="20"/>
                <w:szCs w:val="20"/>
                <w:color w:val="auto"/>
              </w:rPr>
            </w:pPr>
            <w:r>
              <w:rPr>
                <w:rFonts w:ascii="Arial" w:cs="Arial" w:eastAsia="Arial" w:hAnsi="Arial"/>
                <w:sz w:val="14"/>
                <w:szCs w:val="14"/>
                <w:color w:val="E45D50"/>
              </w:rPr>
              <w:t>Securities</w:t>
            </w:r>
          </w:p>
        </w:tc>
        <w:tc>
          <w:tcPr>
            <w:tcW w:w="140" w:type="dxa"/>
            <w:vAlign w:val="bottom"/>
            <w:textDirection w:val="btLr"/>
          </w:tcPr>
          <w:p>
            <w:pPr>
              <w:spacing w:after="0"/>
              <w:rPr>
                <w:sz w:val="20"/>
                <w:szCs w:val="20"/>
                <w:color w:val="auto"/>
              </w:rPr>
            </w:pPr>
            <w:r>
              <w:rPr>
                <w:rFonts w:ascii="Arial" w:cs="Arial" w:eastAsia="Arial" w:hAnsi="Arial"/>
                <w:sz w:val="14"/>
                <w:szCs w:val="14"/>
                <w:color w:val="E45D50"/>
                <w:w w:val="99"/>
              </w:rPr>
              <w:t>or sale is</w:t>
            </w:r>
          </w:p>
        </w:tc>
      </w:tr>
      <w:tr>
        <w:trPr>
          <w:trHeight w:val="523"/>
        </w:trPr>
        <w:tc>
          <w:tcPr>
            <w:tcW w:w="160" w:type="dxa"/>
            <w:vAlign w:val="bottom"/>
            <w:textDirection w:val="btLr"/>
          </w:tcPr>
          <w:p>
            <w:pPr>
              <w:spacing w:after="0"/>
              <w:rPr>
                <w:sz w:val="20"/>
                <w:szCs w:val="20"/>
                <w:color w:val="auto"/>
              </w:rPr>
            </w:pPr>
            <w:r>
              <w:rPr>
                <w:rFonts w:ascii="Arial" w:cs="Arial" w:eastAsia="Arial" w:hAnsi="Arial"/>
                <w:sz w:val="14"/>
                <w:szCs w:val="14"/>
                <w:color w:val="E45D50"/>
              </w:rPr>
              <w:t>with the</w:t>
            </w:r>
          </w:p>
        </w:tc>
        <w:tc>
          <w:tcPr>
            <w:tcW w:w="140" w:type="dxa"/>
            <w:vAlign w:val="bottom"/>
            <w:textDirection w:val="btLr"/>
          </w:tcPr>
          <w:p>
            <w:pPr>
              <w:spacing w:after="0"/>
              <w:rPr>
                <w:sz w:val="20"/>
                <w:szCs w:val="20"/>
                <w:color w:val="auto"/>
              </w:rPr>
            </w:pPr>
            <w:r>
              <w:rPr>
                <w:rFonts w:ascii="Arial" w:cs="Arial" w:eastAsia="Arial" w:hAnsi="Arial"/>
                <w:sz w:val="14"/>
                <w:szCs w:val="14"/>
                <w:color w:val="E45D50"/>
              </w:rPr>
              <w:t>the offer</w:t>
            </w:r>
          </w:p>
        </w:tc>
      </w:tr>
      <w:tr>
        <w:trPr>
          <w:trHeight w:val="2548"/>
        </w:trPr>
        <w:tc>
          <w:tcPr>
            <w:tcW w:w="160" w:type="dxa"/>
            <w:vAlign w:val="bottom"/>
            <w:textDirection w:val="btLr"/>
          </w:tcPr>
          <w:p>
            <w:pPr>
              <w:spacing w:after="0"/>
              <w:rPr>
                <w:sz w:val="20"/>
                <w:szCs w:val="20"/>
                <w:color w:val="auto"/>
              </w:rPr>
            </w:pPr>
            <w:r>
              <w:rPr>
                <w:rFonts w:ascii="Arial" w:cs="Arial" w:eastAsia="Arial" w:hAnsi="Arial"/>
                <w:sz w:val="14"/>
                <w:szCs w:val="14"/>
                <w:color w:val="E45D50"/>
                <w:w w:val="99"/>
              </w:rPr>
              <w:t>sold until the registration statement filed</w:t>
            </w:r>
          </w:p>
        </w:tc>
        <w:tc>
          <w:tcPr>
            <w:tcW w:w="140" w:type="dxa"/>
            <w:vAlign w:val="bottom"/>
            <w:textDirection w:val="btLr"/>
          </w:tcPr>
          <w:p>
            <w:pPr>
              <w:spacing w:after="0"/>
              <w:rPr>
                <w:sz w:val="20"/>
                <w:szCs w:val="20"/>
                <w:color w:val="auto"/>
              </w:rPr>
            </w:pPr>
            <w:r>
              <w:rPr>
                <w:rFonts w:ascii="Arial" w:cs="Arial" w:eastAsia="Arial" w:hAnsi="Arial"/>
                <w:sz w:val="14"/>
                <w:szCs w:val="14"/>
                <w:color w:val="E45D50"/>
              </w:rPr>
              <w:t>these securities in any jurisdiction where</w:t>
            </w:r>
          </w:p>
        </w:tc>
      </w:tr>
      <w:tr>
        <w:trPr>
          <w:trHeight w:val="422"/>
        </w:trPr>
        <w:tc>
          <w:tcPr>
            <w:tcW w:w="160" w:type="dxa"/>
            <w:vAlign w:val="bottom"/>
            <w:textDirection w:val="btLr"/>
          </w:tcPr>
          <w:p>
            <w:pPr>
              <w:spacing w:after="0"/>
              <w:rPr>
                <w:sz w:val="20"/>
                <w:szCs w:val="20"/>
                <w:color w:val="auto"/>
              </w:rPr>
            </w:pPr>
            <w:r>
              <w:rPr>
                <w:rFonts w:ascii="Arial" w:cs="Arial" w:eastAsia="Arial" w:hAnsi="Arial"/>
                <w:sz w:val="14"/>
                <w:szCs w:val="14"/>
                <w:color w:val="E45D50"/>
              </w:rPr>
              <w:t>not be</w:t>
            </w:r>
          </w:p>
        </w:tc>
        <w:tc>
          <w:tcPr>
            <w:tcW w:w="140" w:type="dxa"/>
            <w:vAlign w:val="bottom"/>
            <w:textDirection w:val="btLr"/>
          </w:tcPr>
          <w:p>
            <w:pPr>
              <w:spacing w:after="0"/>
              <w:rPr>
                <w:sz w:val="20"/>
                <w:szCs w:val="20"/>
                <w:color w:val="auto"/>
              </w:rPr>
            </w:pPr>
            <w:r>
              <w:rPr>
                <w:rFonts w:ascii="Arial" w:cs="Arial" w:eastAsia="Arial" w:hAnsi="Arial"/>
                <w:sz w:val="14"/>
                <w:szCs w:val="14"/>
                <w:color w:val="E45D50"/>
                <w:w w:val="99"/>
              </w:rPr>
              <w:t>to buy</w:t>
            </w:r>
          </w:p>
        </w:tc>
      </w:tr>
      <w:tr>
        <w:trPr>
          <w:trHeight w:val="1959"/>
        </w:trPr>
        <w:tc>
          <w:tcPr>
            <w:tcW w:w="160" w:type="dxa"/>
            <w:vAlign w:val="bottom"/>
            <w:textDirection w:val="btLr"/>
          </w:tcPr>
          <w:p>
            <w:pPr>
              <w:spacing w:after="0"/>
              <w:rPr>
                <w:sz w:val="20"/>
                <w:szCs w:val="20"/>
                <w:color w:val="auto"/>
              </w:rPr>
            </w:pPr>
            <w:r>
              <w:rPr>
                <w:rFonts w:ascii="Arial" w:cs="Arial" w:eastAsia="Arial" w:hAnsi="Arial"/>
                <w:sz w:val="14"/>
                <w:szCs w:val="14"/>
                <w:color w:val="E45D50"/>
              </w:rPr>
              <w:t>changed. These securities may</w:t>
            </w:r>
          </w:p>
        </w:tc>
        <w:tc>
          <w:tcPr>
            <w:tcW w:w="140" w:type="dxa"/>
            <w:vAlign w:val="bottom"/>
            <w:textDirection w:val="btLr"/>
          </w:tcPr>
          <w:p>
            <w:pPr>
              <w:spacing w:after="0"/>
              <w:rPr>
                <w:sz w:val="20"/>
                <w:szCs w:val="20"/>
                <w:color w:val="auto"/>
              </w:rPr>
            </w:pPr>
            <w:r>
              <w:rPr>
                <w:rFonts w:ascii="Arial" w:cs="Arial" w:eastAsia="Arial" w:hAnsi="Arial"/>
                <w:sz w:val="14"/>
                <w:szCs w:val="14"/>
                <w:color w:val="E45D50"/>
              </w:rPr>
              <w:t>and we are not soliciting offers</w:t>
            </w:r>
          </w:p>
        </w:tc>
      </w:tr>
      <w:tr>
        <w:trPr>
          <w:trHeight w:val="1393"/>
        </w:trPr>
        <w:tc>
          <w:tcPr>
            <w:tcW w:w="160" w:type="dxa"/>
            <w:vAlign w:val="bottom"/>
            <w:textDirection w:val="btLr"/>
          </w:tcPr>
          <w:p>
            <w:pPr>
              <w:spacing w:after="0"/>
              <w:rPr>
                <w:sz w:val="20"/>
                <w:szCs w:val="20"/>
                <w:color w:val="auto"/>
              </w:rPr>
            </w:pPr>
            <w:r>
              <w:rPr>
                <w:rFonts w:ascii="Arial" w:cs="Arial" w:eastAsia="Arial" w:hAnsi="Arial"/>
                <w:sz w:val="14"/>
                <w:szCs w:val="14"/>
                <w:color w:val="E45D50"/>
              </w:rPr>
              <w:t>complete and may be</w:t>
            </w:r>
          </w:p>
        </w:tc>
        <w:tc>
          <w:tcPr>
            <w:tcW w:w="140" w:type="dxa"/>
            <w:vAlign w:val="bottom"/>
            <w:textDirection w:val="btLr"/>
          </w:tcPr>
          <w:p>
            <w:pPr>
              <w:spacing w:after="0"/>
              <w:rPr>
                <w:sz w:val="20"/>
                <w:szCs w:val="20"/>
                <w:color w:val="auto"/>
              </w:rPr>
            </w:pPr>
            <w:r>
              <w:rPr>
                <w:rFonts w:ascii="Arial" w:cs="Arial" w:eastAsia="Arial" w:hAnsi="Arial"/>
                <w:sz w:val="14"/>
                <w:szCs w:val="14"/>
                <w:color w:val="E45D50"/>
              </w:rPr>
              <w:t>to sell these securities</w:t>
            </w:r>
          </w:p>
        </w:tc>
      </w:tr>
      <w:tr>
        <w:trPr>
          <w:trHeight w:val="3242"/>
        </w:trPr>
        <w:tc>
          <w:tcPr>
            <w:tcW w:w="160" w:type="dxa"/>
            <w:vAlign w:val="bottom"/>
            <w:textDirection w:val="btLr"/>
          </w:tcPr>
          <w:p>
            <w:pPr>
              <w:spacing w:after="0"/>
              <w:rPr>
                <w:sz w:val="20"/>
                <w:szCs w:val="20"/>
                <w:color w:val="auto"/>
              </w:rPr>
            </w:pPr>
            <w:r>
              <w:rPr>
                <w:rFonts w:ascii="Arial" w:cs="Arial" w:eastAsia="Arial" w:hAnsi="Arial"/>
                <w:sz w:val="14"/>
                <w:szCs w:val="14"/>
                <w:color w:val="E45D50"/>
              </w:rPr>
              <w:t>The information in this preliminary prospectus is not</w:t>
            </w:r>
          </w:p>
        </w:tc>
        <w:tc>
          <w:tcPr>
            <w:tcW w:w="140" w:type="dxa"/>
            <w:vAlign w:val="bottom"/>
            <w:textDirection w:val="btLr"/>
          </w:tcPr>
          <w:p>
            <w:pPr>
              <w:spacing w:after="0"/>
              <w:rPr>
                <w:sz w:val="20"/>
                <w:szCs w:val="20"/>
                <w:color w:val="auto"/>
              </w:rPr>
            </w:pPr>
            <w:r>
              <w:rPr>
                <w:rFonts w:ascii="Arial" w:cs="Arial" w:eastAsia="Arial" w:hAnsi="Arial"/>
                <w:sz w:val="14"/>
                <w:szCs w:val="14"/>
                <w:color w:val="E45D50"/>
              </w:rPr>
              <w:t>effective. This preliminary prospectus is not an offer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E45D50"/>
        </w:rPr>
        <w:t>SUBJECT TO COMPLETION, DATED JUNE 23, 2020</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203200</wp:posOffset>
            </wp:positionV>
            <wp:extent cx="2734310"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3431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TELA Bio, Inc.</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397" w:lineRule="exact"/>
        <w:rPr>
          <w:sz w:val="20"/>
          <w:szCs w:val="20"/>
          <w:color w:val="auto"/>
        </w:rPr>
      </w:pPr>
    </w:p>
    <w:p>
      <w:pPr>
        <w:ind w:right="200"/>
        <w:spacing w:after="0" w:line="268" w:lineRule="auto"/>
        <w:rPr>
          <w:sz w:val="20"/>
          <w:szCs w:val="20"/>
          <w:color w:val="auto"/>
        </w:rPr>
      </w:pPr>
      <w:r>
        <w:rPr>
          <w:rFonts w:ascii="Arial" w:cs="Arial" w:eastAsia="Arial" w:hAnsi="Arial"/>
          <w:sz w:val="15"/>
          <w:szCs w:val="15"/>
          <w:color w:val="auto"/>
        </w:rPr>
        <w:t>We are offering 3,000,000 shares of our common stock. Our common stock is listed on the Nasdaq Global Market under the symbol “TELA.” On June 22, 2020, the last reported trading price of our common stock as reported on the Nasdaq Global Market was $20.90 per share. The final public offering price will be determined through negotiation between us and the lead underwriters in the offering and the recent market price used throughout this prospectus may not be indicative of the actual offering price.</w:t>
      </w:r>
    </w:p>
    <w:p>
      <w:pPr>
        <w:spacing w:after="0" w:line="103" w:lineRule="exact"/>
        <w:rPr>
          <w:sz w:val="20"/>
          <w:szCs w:val="20"/>
          <w:color w:val="auto"/>
        </w:rPr>
      </w:pPr>
    </w:p>
    <w:p>
      <w:pPr>
        <w:ind w:right="480"/>
        <w:spacing w:after="0" w:line="304" w:lineRule="auto"/>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Investing in our common stock involves a high degree of risk. Please read “Risk Factors” beginning on page </w:t>
      </w:r>
      <w:hyperlink w:anchor="page18">
        <w:r>
          <w:rPr>
            <w:rFonts w:ascii="Arial" w:cs="Arial" w:eastAsia="Arial" w:hAnsi="Arial"/>
            <w:sz w:val="15"/>
            <w:szCs w:val="15"/>
            <w:b w:val="1"/>
            <w:bCs w:val="1"/>
            <w:u w:val="single" w:color="auto"/>
            <w:color w:val="0000EE"/>
          </w:rPr>
          <w:t>15</w:t>
        </w:r>
        <w:r>
          <w:rPr>
            <w:rFonts w:ascii="Arial" w:cs="Arial" w:eastAsia="Arial" w:hAnsi="Arial"/>
            <w:sz w:val="15"/>
            <w:szCs w:val="15"/>
            <w:b w:val="1"/>
            <w:bCs w:val="1"/>
            <w:u w:val="single" w:color="auto"/>
            <w:color w:val="auto"/>
          </w:rPr>
          <w:t xml:space="preserve"> </w:t>
        </w:r>
      </w:hyperlink>
      <w:r>
        <w:rPr>
          <w:rFonts w:ascii="Arial" w:cs="Arial" w:eastAsia="Arial" w:hAnsi="Arial"/>
          <w:sz w:val="15"/>
          <w:szCs w:val="15"/>
          <w:b w:val="1"/>
          <w:bCs w:val="1"/>
          <w:color w:val="auto"/>
        </w:rPr>
        <w:t>of this prospectus and under similar headings in documents incorporated by reference into this prospectus.</w:t>
      </w:r>
    </w:p>
    <w:p>
      <w:pPr>
        <w:spacing w:after="0" w:line="90" w:lineRule="exact"/>
        <w:rPr>
          <w:sz w:val="20"/>
          <w:szCs w:val="20"/>
          <w:color w:val="auto"/>
        </w:rPr>
      </w:pPr>
    </w:p>
    <w:p>
      <w:pPr>
        <w:jc w:val="both"/>
        <w:ind w:right="380"/>
        <w:spacing w:after="0" w:line="283"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23" w:lineRule="exact"/>
        <w:rPr>
          <w:sz w:val="20"/>
          <w:szCs w:val="20"/>
          <w:color w:val="auto"/>
        </w:rPr>
      </w:pPr>
    </w:p>
    <w:p>
      <w:pPr>
        <w:ind w:right="220"/>
        <w:spacing w:after="0" w:line="279" w:lineRule="auto"/>
        <w:rPr>
          <w:sz w:val="20"/>
          <w:szCs w:val="20"/>
          <w:color w:val="auto"/>
        </w:rPr>
      </w:pPr>
      <w:r>
        <w:rPr>
          <w:rFonts w:ascii="Arial" w:cs="Arial" w:eastAsia="Arial" w:hAnsi="Arial"/>
          <w:sz w:val="15"/>
          <w:szCs w:val="15"/>
          <w:color w:val="auto"/>
        </w:rPr>
        <w:t>We are an “emerging growth company” as defined under U.S. federal securities laws and will be subject to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99060</wp:posOffset>
            </wp:positionV>
            <wp:extent cx="57689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6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r>
      <w:tr>
        <w:trPr>
          <w:trHeight w:val="229"/>
        </w:trPr>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860" w:type="dxa"/>
            <w:vAlign w:val="bottom"/>
            <w:tcBorders>
              <w:top w:val="single" w:sz="8" w:color="auto"/>
            </w:tcBorders>
            <w:shd w:val="clear" w:color="auto" w:fill="CCEEFF"/>
          </w:tcPr>
          <w:p>
            <w:pPr>
              <w:jc w:val="right"/>
              <w:ind w:right="578"/>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r>
      <w:tr>
        <w:trPr>
          <w:trHeight w:val="256"/>
        </w:trPr>
        <w:tc>
          <w:tcPr>
            <w:tcW w:w="7460" w:type="dxa"/>
            <w:vAlign w:val="bottom"/>
          </w:tcPr>
          <w:p>
            <w:pPr>
              <w:spacing w:after="0" w:line="257" w:lineRule="exact"/>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5"/>
                <w:szCs w:val="25"/>
                <w:color w:val="auto"/>
                <w:vertAlign w:val="superscript"/>
              </w:rPr>
              <w:t>(1)</w:t>
            </w:r>
          </w:p>
        </w:tc>
        <w:tc>
          <w:tcPr>
            <w:tcW w:w="860" w:type="dxa"/>
            <w:vAlign w:val="bottom"/>
          </w:tcPr>
          <w:p>
            <w:pPr>
              <w:jc w:val="right"/>
              <w:ind w:right="578"/>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w:t>
            </w:r>
          </w:p>
        </w:tc>
      </w:tr>
      <w:tr>
        <w:trPr>
          <w:trHeight w:val="239"/>
        </w:trPr>
        <w:tc>
          <w:tcPr>
            <w:tcW w:w="7460" w:type="dxa"/>
            <w:vAlign w:val="bottom"/>
            <w:shd w:val="clear" w:color="auto" w:fill="CCEEFF"/>
          </w:tcPr>
          <w:p>
            <w:pPr>
              <w:spacing w:after="0"/>
              <w:rPr>
                <w:sz w:val="20"/>
                <w:szCs w:val="20"/>
                <w:color w:val="auto"/>
              </w:rPr>
            </w:pPr>
            <w:r>
              <w:rPr>
                <w:rFonts w:ascii="Arial" w:cs="Arial" w:eastAsia="Arial" w:hAnsi="Arial"/>
                <w:sz w:val="17"/>
                <w:szCs w:val="17"/>
                <w:color w:val="auto"/>
              </w:rPr>
              <w:t>Proceeds to TELA Bio, Inc. (Before Expenses)</w:t>
            </w:r>
          </w:p>
        </w:tc>
        <w:tc>
          <w:tcPr>
            <w:tcW w:w="860" w:type="dxa"/>
            <w:vAlign w:val="bottom"/>
            <w:shd w:val="clear" w:color="auto" w:fill="CCEEFF"/>
          </w:tcPr>
          <w:p>
            <w:pPr>
              <w:jc w:val="right"/>
              <w:ind w:right="578"/>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r>
      <w:tr>
        <w:trPr>
          <w:trHeight w:val="139"/>
        </w:trPr>
        <w:tc>
          <w:tcPr>
            <w:tcW w:w="74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-565150</wp:posOffset>
            </wp:positionV>
            <wp:extent cx="5417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17820" cy="8890"/>
                    </a:xfrm>
                    <a:prstGeom prst="rect">
                      <a:avLst/>
                    </a:prstGeom>
                    <a:noFill/>
                  </pic:spPr>
                </pic:pic>
              </a:graphicData>
            </a:graphic>
          </wp:anchor>
        </w:drawing>
      </w:r>
    </w:p>
    <w:p>
      <w:pPr>
        <w:spacing w:after="0" w:line="122" w:lineRule="exact"/>
        <w:rPr>
          <w:sz w:val="20"/>
          <w:szCs w:val="20"/>
          <w:color w:val="auto"/>
        </w:rPr>
      </w:pPr>
    </w:p>
    <w:p>
      <w:pPr>
        <w:spacing w:after="0"/>
        <w:tabs>
          <w:tab w:leader="none" w:pos="340" w:val="left"/>
        </w:tabs>
        <w:rPr>
          <w:rFonts w:ascii="Arial" w:cs="Arial" w:eastAsia="Arial" w:hAnsi="Arial"/>
          <w:sz w:val="17"/>
          <w:szCs w:val="17"/>
          <w:color w:val="auto"/>
        </w:rPr>
      </w:pPr>
      <w:r>
        <w:rPr>
          <w:rFonts w:ascii="Arial" w:cs="Arial" w:eastAsia="Arial" w:hAnsi="Arial"/>
          <w:sz w:val="17"/>
          <w:szCs w:val="17"/>
          <w:color w:val="auto"/>
        </w:rPr>
        <w:t>(1)</w:t>
        <w:tab/>
        <w:t xml:space="preserve">We refer you to “Underwriting” beginning on page </w:t>
      </w:r>
      <w:hyperlink w:anchor="page40">
        <w:r>
          <w:rPr>
            <w:rFonts w:ascii="Arial" w:cs="Arial" w:eastAsia="Arial" w:hAnsi="Arial"/>
            <w:sz w:val="17"/>
            <w:szCs w:val="17"/>
            <w:u w:val="single" w:color="auto"/>
            <w:color w:val="0000EE"/>
          </w:rPr>
          <w:t>37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additional information regarding underwriter compensation.</w:t>
      </w:r>
    </w:p>
    <w:p>
      <w:pPr>
        <w:spacing w:after="0" w:line="156" w:lineRule="exact"/>
        <w:rPr>
          <w:sz w:val="20"/>
          <w:szCs w:val="20"/>
          <w:color w:val="auto"/>
        </w:rPr>
      </w:pPr>
    </w:p>
    <w:p>
      <w:pPr>
        <w:spacing w:after="0"/>
        <w:tabs>
          <w:tab w:leader="none" w:pos="6700" w:val="left"/>
        </w:tabs>
        <w:rPr>
          <w:sz w:val="20"/>
          <w:szCs w:val="20"/>
          <w:color w:val="auto"/>
        </w:rPr>
      </w:pPr>
      <w:r>
        <w:rPr>
          <w:rFonts w:ascii="Arial" w:cs="Arial" w:eastAsia="Arial" w:hAnsi="Arial"/>
          <w:sz w:val="17"/>
          <w:szCs w:val="17"/>
          <w:color w:val="auto"/>
        </w:rPr>
        <w:t>Delivery of the shares of common stock is expected to be made on or about</w:t>
      </w:r>
      <w:r>
        <w:rPr>
          <w:sz w:val="20"/>
          <w:szCs w:val="20"/>
          <w:color w:val="auto"/>
        </w:rPr>
        <w:tab/>
      </w:r>
      <w:r>
        <w:rPr>
          <w:rFonts w:ascii="Arial" w:cs="Arial" w:eastAsia="Arial" w:hAnsi="Arial"/>
          <w:sz w:val="17"/>
          <w:szCs w:val="17"/>
          <w:color w:val="auto"/>
        </w:rPr>
        <w:t>, 2020. We have granted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underwriters an option for a period of 30 days to purchase an additional 450,000 shares of our common stock. If the</w:t>
      </w:r>
    </w:p>
    <w:p>
      <w:pPr>
        <w:spacing w:after="0" w:line="21" w:lineRule="exact"/>
        <w:rPr>
          <w:sz w:val="20"/>
          <w:szCs w:val="20"/>
          <w:color w:val="auto"/>
        </w:rPr>
      </w:pPr>
    </w:p>
    <w:p>
      <w:pPr>
        <w:spacing w:after="0"/>
        <w:tabs>
          <w:tab w:leader="none" w:pos="9000" w:val="left"/>
        </w:tabs>
        <w:rPr>
          <w:sz w:val="20"/>
          <w:szCs w:val="20"/>
          <w:color w:val="auto"/>
        </w:rPr>
      </w:pPr>
      <w:r>
        <w:rPr>
          <w:rFonts w:ascii="Arial" w:cs="Arial" w:eastAsia="Arial" w:hAnsi="Arial"/>
          <w:sz w:val="17"/>
          <w:szCs w:val="17"/>
          <w:color w:val="auto"/>
        </w:rPr>
        <w:t>underwriters exercise the option in full, the total underwriting discounts and commissions payable by us will be $</w:t>
      </w:r>
      <w:r>
        <w:rPr>
          <w:sz w:val="20"/>
          <w:szCs w:val="20"/>
          <w:color w:val="auto"/>
        </w:rPr>
        <w:tab/>
      </w:r>
      <w:r>
        <w:rPr>
          <w:rFonts w:ascii="Arial" w:cs="Arial" w:eastAsia="Arial" w:hAnsi="Arial"/>
          <w:sz w:val="17"/>
          <w:szCs w:val="17"/>
          <w:color w:val="auto"/>
        </w:rPr>
        <w:t>,</w:t>
      </w:r>
    </w:p>
    <w:p>
      <w:pPr>
        <w:spacing w:after="0" w:line="21" w:lineRule="exact"/>
        <w:rPr>
          <w:sz w:val="20"/>
          <w:szCs w:val="20"/>
          <w:color w:val="auto"/>
        </w:rPr>
      </w:pPr>
    </w:p>
    <w:p>
      <w:pPr>
        <w:spacing w:after="0"/>
        <w:tabs>
          <w:tab w:leader="none" w:pos="4740" w:val="left"/>
        </w:tabs>
        <w:rPr>
          <w:sz w:val="20"/>
          <w:szCs w:val="20"/>
          <w:color w:val="auto"/>
        </w:rPr>
      </w:pPr>
      <w:r>
        <w:rPr>
          <w:rFonts w:ascii="Arial" w:cs="Arial" w:eastAsia="Arial" w:hAnsi="Arial"/>
          <w:sz w:val="17"/>
          <w:szCs w:val="17"/>
          <w:color w:val="auto"/>
        </w:rPr>
        <w:t>and the total proceeds to us, before expenses, will be $</w:t>
      </w:r>
      <w:r>
        <w:rPr>
          <w:sz w:val="20"/>
          <w:szCs w:val="20"/>
          <w:color w:val="auto"/>
        </w:rPr>
        <w:tab/>
      </w:r>
      <w:r>
        <w:rPr>
          <w:rFonts w:ascii="Arial" w:cs="Arial" w:eastAsia="Arial" w:hAnsi="Arial"/>
          <w:sz w:val="14"/>
          <w:szCs w:val="14"/>
          <w:color w:val="auto"/>
        </w:rPr>
        <w: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Joint Book-Running Managers</w:t>
      </w:r>
    </w:p>
    <w:p>
      <w:pPr>
        <w:spacing w:after="0" w:line="207" w:lineRule="exact"/>
        <w:rPr>
          <w:sz w:val="20"/>
          <w:szCs w:val="20"/>
          <w:color w:val="auto"/>
        </w:rPr>
      </w:pPr>
    </w:p>
    <w:p>
      <w:pPr>
        <w:spacing w:after="0"/>
        <w:tabs>
          <w:tab w:leader="none" w:pos="7200" w:val="left"/>
        </w:tabs>
        <w:rPr>
          <w:sz w:val="20"/>
          <w:szCs w:val="20"/>
          <w:color w:val="auto"/>
        </w:rPr>
      </w:pPr>
      <w:r>
        <w:rPr>
          <w:rFonts w:ascii="Arial" w:cs="Arial" w:eastAsia="Arial" w:hAnsi="Arial"/>
          <w:sz w:val="29"/>
          <w:szCs w:val="29"/>
          <w:b w:val="1"/>
          <w:bCs w:val="1"/>
          <w:color w:val="auto"/>
        </w:rPr>
        <w:t>Jefferies</w:t>
      </w:r>
      <w:r>
        <w:rPr>
          <w:sz w:val="20"/>
          <w:szCs w:val="20"/>
          <w:color w:val="auto"/>
        </w:rPr>
        <w:tab/>
      </w:r>
      <w:r>
        <w:rPr>
          <w:rFonts w:ascii="Arial" w:cs="Arial" w:eastAsia="Arial" w:hAnsi="Arial"/>
          <w:sz w:val="29"/>
          <w:szCs w:val="29"/>
          <w:b w:val="1"/>
          <w:bCs w:val="1"/>
          <w:color w:val="auto"/>
        </w:rPr>
        <w:t>Piper Sandler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Lead Manager</w:t>
      </w:r>
    </w:p>
    <w:p>
      <w:pPr>
        <w:spacing w:after="0" w:line="109" w:lineRule="exact"/>
        <w:rPr>
          <w:sz w:val="20"/>
          <w:szCs w:val="20"/>
          <w:color w:val="auto"/>
        </w:rPr>
      </w:pPr>
    </w:p>
    <w:p>
      <w:pPr>
        <w:ind w:left="3400"/>
        <w:spacing w:after="0"/>
        <w:rPr>
          <w:sz w:val="20"/>
          <w:szCs w:val="20"/>
          <w:color w:val="auto"/>
        </w:rPr>
      </w:pPr>
      <w:r>
        <w:rPr>
          <w:rFonts w:ascii="Arial" w:cs="Arial" w:eastAsia="Arial" w:hAnsi="Arial"/>
          <w:sz w:val="25"/>
          <w:szCs w:val="25"/>
          <w:b w:val="1"/>
          <w:bCs w:val="1"/>
          <w:color w:val="auto"/>
        </w:rPr>
        <w:t>Canaccord Genuity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Co-Manager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JMP Securities</w:t>
      </w:r>
    </w:p>
    <w:p>
      <w:pPr>
        <w:spacing w:after="0" w:line="449" w:lineRule="exact"/>
        <w:rPr>
          <w:sz w:val="20"/>
          <w:szCs w:val="20"/>
          <w:color w:val="auto"/>
        </w:rPr>
      </w:pPr>
    </w:p>
    <w:p>
      <w:pPr>
        <w:sectPr>
          <w:pgSz w:w="11900" w:h="16838" w:orient="portrait"/>
          <w:cols w:equalWidth="0" w:num="2">
            <w:col w:w="740" w:space="400"/>
            <w:col w:w="9100"/>
          </w:cols>
          <w:pgMar w:left="320" w:top="131" w:right="1339" w:bottom="1440" w:gutter="0" w:footer="0" w:header="0"/>
          <w:type w:val="continuous"/>
        </w:sectPr>
      </w:pPr>
    </w:p>
    <w:p>
      <w:pPr>
        <w:ind w:left="4160"/>
        <w:spacing w:after="0"/>
        <w:tabs>
          <w:tab w:leader="none" w:pos="6700" w:val="left"/>
        </w:tabs>
        <w:rPr>
          <w:sz w:val="20"/>
          <w:szCs w:val="20"/>
          <w:color w:val="auto"/>
        </w:rPr>
      </w:pPr>
      <w:r>
        <w:rPr>
          <w:rFonts w:ascii="Arial" w:cs="Arial" w:eastAsia="Arial" w:hAnsi="Arial"/>
          <w:sz w:val="18"/>
          <w:szCs w:val="18"/>
          <w:b w:val="1"/>
          <w:bCs w:val="1"/>
          <w:color w:val="auto"/>
        </w:rPr>
        <w:t>Prospectus dated</w:t>
      </w:r>
      <w:r>
        <w:rPr>
          <w:sz w:val="20"/>
          <w:szCs w:val="20"/>
          <w:color w:val="auto"/>
        </w:rPr>
        <w:tab/>
      </w:r>
      <w:r>
        <w:rPr>
          <w:rFonts w:ascii="Arial" w:cs="Arial" w:eastAsia="Arial" w:hAnsi="Arial"/>
          <w:sz w:val="17"/>
          <w:szCs w:val="17"/>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320" w:top="131" w:right="133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TABLE OF CONTENTS</w:t>
      </w:r>
    </w:p>
    <w:p>
      <w:pPr>
        <w:spacing w:after="0" w:line="390"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7300" w:type="dxa"/>
            <w:vAlign w:val="bottom"/>
            <w:tcBorders>
              <w:top w:val="single" w:sz="8" w:color="auto"/>
            </w:tcBorders>
            <w:shd w:val="clear" w:color="auto" w:fill="CCEEFF"/>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PROSPECTUS SUMMARY</w:t>
              </w:r>
            </w:hyperlink>
          </w:p>
        </w:tc>
        <w:tc>
          <w:tcPr>
            <w:tcW w:w="920" w:type="dxa"/>
            <w:vAlign w:val="bottom"/>
            <w:tcBorders>
              <w:top w:val="single" w:sz="8" w:color="auto"/>
            </w:tcBorders>
            <w:shd w:val="clear" w:color="auto" w:fill="CCEEFF"/>
          </w:tcPr>
          <w:p>
            <w:pPr>
              <w:jc w:val="right"/>
              <w:ind w:right="155"/>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1</w:t>
              </w:r>
            </w:hyperlink>
          </w:p>
        </w:tc>
      </w:tr>
      <w:tr>
        <w:trPr>
          <w:trHeight w:val="241"/>
        </w:trPr>
        <w:tc>
          <w:tcPr>
            <w:tcW w:w="7300" w:type="dxa"/>
            <w:vAlign w:val="bottom"/>
          </w:tcPr>
          <w:p>
            <w:pPr>
              <w:spacing w:after="0"/>
              <w:rPr>
                <w:rFonts w:ascii="Arial" w:cs="Arial" w:eastAsia="Arial" w:hAnsi="Arial"/>
                <w:sz w:val="17"/>
                <w:szCs w:val="17"/>
                <w:u w:val="single" w:color="auto"/>
                <w:color w:val="0000EE"/>
              </w:rPr>
            </w:pPr>
            <w:hyperlink w:anchor="page18">
              <w:r>
                <w:rPr>
                  <w:rFonts w:ascii="Arial" w:cs="Arial" w:eastAsia="Arial" w:hAnsi="Arial"/>
                  <w:sz w:val="17"/>
                  <w:szCs w:val="17"/>
                  <w:u w:val="single" w:color="auto"/>
                  <w:color w:val="0000EE"/>
                </w:rPr>
                <w:t>RISK FACTORS</w:t>
              </w:r>
            </w:hyperlink>
          </w:p>
        </w:tc>
        <w:tc>
          <w:tcPr>
            <w:tcW w:w="920" w:type="dxa"/>
            <w:vAlign w:val="bottom"/>
          </w:tcPr>
          <w:p>
            <w:pPr>
              <w:jc w:val="right"/>
              <w:ind w:right="155"/>
              <w:spacing w:after="0"/>
              <w:rPr>
                <w:rFonts w:ascii="Arial" w:cs="Arial" w:eastAsia="Arial" w:hAnsi="Arial"/>
                <w:sz w:val="17"/>
                <w:szCs w:val="17"/>
                <w:u w:val="single" w:color="auto"/>
                <w:color w:val="0000EE"/>
              </w:rPr>
            </w:pPr>
            <w:hyperlink w:anchor="page18">
              <w:r>
                <w:rPr>
                  <w:rFonts w:ascii="Arial" w:cs="Arial" w:eastAsia="Arial" w:hAnsi="Arial"/>
                  <w:sz w:val="17"/>
                  <w:szCs w:val="17"/>
                  <w:u w:val="single" w:color="auto"/>
                  <w:color w:val="0000EE"/>
                </w:rPr>
                <w:t>15</w:t>
              </w:r>
            </w:hyperlink>
          </w:p>
        </w:tc>
      </w:tr>
      <w:tr>
        <w:trPr>
          <w:trHeight w:val="245"/>
        </w:trPr>
        <w:tc>
          <w:tcPr>
            <w:tcW w:w="7300" w:type="dxa"/>
            <w:vAlign w:val="bottom"/>
            <w:shd w:val="clear" w:color="auto" w:fill="CCEEFF"/>
          </w:tcPr>
          <w:p>
            <w:pPr>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CAUTIONARY NOTE REGARDING FORWARD-LOOKING STATEMENTS</w:t>
              </w:r>
            </w:hyperlink>
          </w:p>
        </w:tc>
        <w:tc>
          <w:tcPr>
            <w:tcW w:w="920" w:type="dxa"/>
            <w:vAlign w:val="bottom"/>
            <w:shd w:val="clear" w:color="auto" w:fill="CCEEFF"/>
          </w:tcPr>
          <w:p>
            <w:pPr>
              <w:jc w:val="right"/>
              <w:ind w:right="155"/>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17</w:t>
              </w:r>
            </w:hyperlink>
          </w:p>
        </w:tc>
      </w:tr>
      <w:tr>
        <w:trPr>
          <w:trHeight w:val="241"/>
        </w:trPr>
        <w:tc>
          <w:tcPr>
            <w:tcW w:w="7300" w:type="dxa"/>
            <w:vAlign w:val="bottom"/>
          </w:tcPr>
          <w:p>
            <w:pPr>
              <w:spacing w:after="0"/>
              <w:rPr>
                <w:rFonts w:ascii="Arial" w:cs="Arial" w:eastAsia="Arial" w:hAnsi="Arial"/>
                <w:sz w:val="17"/>
                <w:szCs w:val="17"/>
                <w:u w:val="single" w:color="auto"/>
                <w:color w:val="0000EE"/>
              </w:rPr>
            </w:pPr>
            <w:hyperlink w:anchor="page22">
              <w:r>
                <w:rPr>
                  <w:rFonts w:ascii="Arial" w:cs="Arial" w:eastAsia="Arial" w:hAnsi="Arial"/>
                  <w:sz w:val="17"/>
                  <w:szCs w:val="17"/>
                  <w:u w:val="single" w:color="auto"/>
                  <w:color w:val="0000EE"/>
                </w:rPr>
                <w:t>USE OF PROCEEDS</w:t>
              </w:r>
            </w:hyperlink>
          </w:p>
        </w:tc>
        <w:tc>
          <w:tcPr>
            <w:tcW w:w="920" w:type="dxa"/>
            <w:vAlign w:val="bottom"/>
          </w:tcPr>
          <w:p>
            <w:pPr>
              <w:jc w:val="right"/>
              <w:ind w:right="155"/>
              <w:spacing w:after="0"/>
              <w:rPr>
                <w:rFonts w:ascii="Arial" w:cs="Arial" w:eastAsia="Arial" w:hAnsi="Arial"/>
                <w:sz w:val="17"/>
                <w:szCs w:val="17"/>
                <w:u w:val="single" w:color="auto"/>
                <w:color w:val="0000EE"/>
              </w:rPr>
            </w:pPr>
            <w:hyperlink w:anchor="page22">
              <w:r>
                <w:rPr>
                  <w:rFonts w:ascii="Arial" w:cs="Arial" w:eastAsia="Arial" w:hAnsi="Arial"/>
                  <w:sz w:val="17"/>
                  <w:szCs w:val="17"/>
                  <w:u w:val="single" w:color="auto"/>
                  <w:color w:val="0000EE"/>
                </w:rPr>
                <w:t>19</w:t>
              </w:r>
            </w:hyperlink>
          </w:p>
        </w:tc>
      </w:tr>
      <w:tr>
        <w:trPr>
          <w:trHeight w:val="245"/>
        </w:trPr>
        <w:tc>
          <w:tcPr>
            <w:tcW w:w="7300" w:type="dxa"/>
            <w:vAlign w:val="bottom"/>
            <w:shd w:val="clear" w:color="auto" w:fill="CCEEFF"/>
          </w:tcPr>
          <w:p>
            <w:pPr>
              <w:spacing w:after="0"/>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DIVIDEND POLICY</w:t>
              </w:r>
            </w:hyperlink>
          </w:p>
        </w:tc>
        <w:tc>
          <w:tcPr>
            <w:tcW w:w="920" w:type="dxa"/>
            <w:vAlign w:val="bottom"/>
            <w:shd w:val="clear" w:color="auto" w:fill="CCEEFF"/>
          </w:tcPr>
          <w:p>
            <w:pPr>
              <w:jc w:val="right"/>
              <w:ind w:right="155"/>
              <w:spacing w:after="0"/>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20</w:t>
              </w:r>
            </w:hyperlink>
          </w:p>
        </w:tc>
      </w:tr>
      <w:tr>
        <w:trPr>
          <w:trHeight w:val="241"/>
        </w:trPr>
        <w:tc>
          <w:tcPr>
            <w:tcW w:w="7300" w:type="dxa"/>
            <w:vAlign w:val="bottom"/>
          </w:tcPr>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CAPITALIZATION</w:t>
              </w:r>
            </w:hyperlink>
          </w:p>
        </w:tc>
        <w:tc>
          <w:tcPr>
            <w:tcW w:w="920" w:type="dxa"/>
            <w:vAlign w:val="bottom"/>
          </w:tcPr>
          <w:p>
            <w:pPr>
              <w:jc w:val="right"/>
              <w:ind w:right="155"/>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21</w:t>
              </w:r>
            </w:hyperlink>
          </w:p>
        </w:tc>
      </w:tr>
      <w:tr>
        <w:trPr>
          <w:trHeight w:val="245"/>
        </w:trPr>
        <w:tc>
          <w:tcPr>
            <w:tcW w:w="7300" w:type="dxa"/>
            <w:vAlign w:val="bottom"/>
            <w:shd w:val="clear" w:color="auto" w:fill="CCEEFF"/>
          </w:tcPr>
          <w:p>
            <w:pPr>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DILUTION</w:t>
              </w:r>
            </w:hyperlink>
          </w:p>
        </w:tc>
        <w:tc>
          <w:tcPr>
            <w:tcW w:w="920" w:type="dxa"/>
            <w:vAlign w:val="bottom"/>
            <w:shd w:val="clear" w:color="auto" w:fill="CCEEFF"/>
          </w:tcPr>
          <w:p>
            <w:pPr>
              <w:jc w:val="right"/>
              <w:ind w:right="155"/>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23</w:t>
              </w:r>
            </w:hyperlink>
          </w:p>
        </w:tc>
      </w:tr>
      <w:tr>
        <w:trPr>
          <w:trHeight w:val="241"/>
        </w:trPr>
        <w:tc>
          <w:tcPr>
            <w:tcW w:w="7300" w:type="dxa"/>
            <w:vAlign w:val="bottom"/>
          </w:tcPr>
          <w:p>
            <w:pPr>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MANAGEMENT</w:t>
              </w:r>
            </w:hyperlink>
          </w:p>
        </w:tc>
        <w:tc>
          <w:tcPr>
            <w:tcW w:w="920" w:type="dxa"/>
            <w:vAlign w:val="bottom"/>
          </w:tcPr>
          <w:p>
            <w:pPr>
              <w:jc w:val="right"/>
              <w:ind w:right="155"/>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25</w:t>
              </w:r>
            </w:hyperlink>
          </w:p>
        </w:tc>
      </w:tr>
      <w:tr>
        <w:trPr>
          <w:trHeight w:val="245"/>
        </w:trPr>
        <w:tc>
          <w:tcPr>
            <w:tcW w:w="7300" w:type="dxa"/>
            <w:vAlign w:val="bottom"/>
            <w:shd w:val="clear" w:color="auto" w:fill="CCEEFF"/>
          </w:tcPr>
          <w:p>
            <w:pPr>
              <w:spacing w:after="0"/>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PRINCIPAL STOCKHOLDERS</w:t>
              </w:r>
            </w:hyperlink>
          </w:p>
        </w:tc>
        <w:tc>
          <w:tcPr>
            <w:tcW w:w="920" w:type="dxa"/>
            <w:vAlign w:val="bottom"/>
            <w:shd w:val="clear" w:color="auto" w:fill="CCEEFF"/>
          </w:tcPr>
          <w:p>
            <w:pPr>
              <w:jc w:val="right"/>
              <w:ind w:right="155"/>
              <w:spacing w:after="0"/>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28</w:t>
              </w:r>
            </w:hyperlink>
          </w:p>
        </w:tc>
      </w:tr>
      <w:tr>
        <w:trPr>
          <w:trHeight w:val="241"/>
        </w:trPr>
        <w:tc>
          <w:tcPr>
            <w:tcW w:w="7300" w:type="dxa"/>
            <w:vAlign w:val="bottom"/>
          </w:tcPr>
          <w:p>
            <w:pPr>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DESCRIPTION OF CAPITAL STOCK</w:t>
              </w:r>
            </w:hyperlink>
          </w:p>
        </w:tc>
        <w:tc>
          <w:tcPr>
            <w:tcW w:w="920" w:type="dxa"/>
            <w:vAlign w:val="bottom"/>
          </w:tcPr>
          <w:p>
            <w:pPr>
              <w:jc w:val="right"/>
              <w:ind w:right="155"/>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30</w:t>
              </w:r>
            </w:hyperlink>
          </w:p>
        </w:tc>
      </w:tr>
      <w:tr>
        <w:trPr>
          <w:trHeight w:val="245"/>
        </w:trPr>
        <w:tc>
          <w:tcPr>
            <w:tcW w:w="7300" w:type="dxa"/>
            <w:vAlign w:val="bottom"/>
            <w:shd w:val="clear" w:color="auto" w:fill="CCEEFF"/>
          </w:tcPr>
          <w:p>
            <w:pPr>
              <w:spacing w:after="0"/>
              <w:rPr>
                <w:rFonts w:ascii="Arial" w:cs="Arial" w:eastAsia="Arial" w:hAnsi="Arial"/>
                <w:sz w:val="17"/>
                <w:szCs w:val="17"/>
                <w:u w:val="single" w:color="auto"/>
                <w:color w:val="0000EE"/>
              </w:rPr>
            </w:pPr>
            <w:hyperlink w:anchor="page36">
              <w:r>
                <w:rPr>
                  <w:rFonts w:ascii="Arial" w:cs="Arial" w:eastAsia="Arial" w:hAnsi="Arial"/>
                  <w:sz w:val="17"/>
                  <w:szCs w:val="17"/>
                  <w:u w:val="single" w:color="auto"/>
                  <w:color w:val="0000EE"/>
                </w:rPr>
                <w:t>MATERIAL U.S. FEDERAL INCOME TAX CONSIDERATIONS FOR NON-U.S. HOLDERS</w:t>
              </w:r>
            </w:hyperlink>
          </w:p>
        </w:tc>
        <w:tc>
          <w:tcPr>
            <w:tcW w:w="920" w:type="dxa"/>
            <w:vAlign w:val="bottom"/>
            <w:shd w:val="clear" w:color="auto" w:fill="CCEEFF"/>
          </w:tcPr>
          <w:p>
            <w:pPr>
              <w:jc w:val="right"/>
              <w:ind w:right="155"/>
              <w:spacing w:after="0"/>
              <w:rPr>
                <w:rFonts w:ascii="Arial" w:cs="Arial" w:eastAsia="Arial" w:hAnsi="Arial"/>
                <w:sz w:val="17"/>
                <w:szCs w:val="17"/>
                <w:u w:val="single" w:color="auto"/>
                <w:color w:val="0000EE"/>
              </w:rPr>
            </w:pPr>
            <w:hyperlink w:anchor="page36">
              <w:r>
                <w:rPr>
                  <w:rFonts w:ascii="Arial" w:cs="Arial" w:eastAsia="Arial" w:hAnsi="Arial"/>
                  <w:sz w:val="17"/>
                  <w:szCs w:val="17"/>
                  <w:u w:val="single" w:color="auto"/>
                  <w:color w:val="0000EE"/>
                </w:rPr>
                <w:t>33</w:t>
              </w:r>
            </w:hyperlink>
          </w:p>
        </w:tc>
      </w:tr>
      <w:tr>
        <w:trPr>
          <w:trHeight w:val="241"/>
        </w:trPr>
        <w:tc>
          <w:tcPr>
            <w:tcW w:w="7300" w:type="dxa"/>
            <w:vAlign w:val="bottom"/>
          </w:tcPr>
          <w:p>
            <w:pPr>
              <w:spacing w:after="0"/>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UNDERWRITING</w:t>
              </w:r>
            </w:hyperlink>
          </w:p>
        </w:tc>
        <w:tc>
          <w:tcPr>
            <w:tcW w:w="920" w:type="dxa"/>
            <w:vAlign w:val="bottom"/>
          </w:tcPr>
          <w:p>
            <w:pPr>
              <w:jc w:val="right"/>
              <w:ind w:right="155"/>
              <w:spacing w:after="0"/>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37</w:t>
              </w:r>
            </w:hyperlink>
          </w:p>
        </w:tc>
      </w:tr>
      <w:tr>
        <w:trPr>
          <w:trHeight w:val="245"/>
        </w:trPr>
        <w:tc>
          <w:tcPr>
            <w:tcW w:w="7300" w:type="dxa"/>
            <w:vAlign w:val="bottom"/>
            <w:shd w:val="clear" w:color="auto" w:fill="CCEEFF"/>
          </w:tcPr>
          <w:p>
            <w:pPr>
              <w:spacing w:after="0"/>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LEGAL MATTERS</w:t>
              </w:r>
            </w:hyperlink>
          </w:p>
        </w:tc>
        <w:tc>
          <w:tcPr>
            <w:tcW w:w="920" w:type="dxa"/>
            <w:vAlign w:val="bottom"/>
            <w:shd w:val="clear" w:color="auto" w:fill="CCEEFF"/>
          </w:tcPr>
          <w:p>
            <w:pPr>
              <w:jc w:val="right"/>
              <w:ind w:right="155"/>
              <w:spacing w:after="0"/>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44</w:t>
              </w:r>
            </w:hyperlink>
          </w:p>
        </w:tc>
      </w:tr>
      <w:tr>
        <w:trPr>
          <w:trHeight w:val="241"/>
        </w:trPr>
        <w:tc>
          <w:tcPr>
            <w:tcW w:w="7300" w:type="dxa"/>
            <w:vAlign w:val="bottom"/>
          </w:tcPr>
          <w:p>
            <w:pPr>
              <w:spacing w:after="0"/>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EXPERTS</w:t>
              </w:r>
            </w:hyperlink>
          </w:p>
        </w:tc>
        <w:tc>
          <w:tcPr>
            <w:tcW w:w="920" w:type="dxa"/>
            <w:vAlign w:val="bottom"/>
          </w:tcPr>
          <w:p>
            <w:pPr>
              <w:jc w:val="right"/>
              <w:ind w:right="155"/>
              <w:spacing w:after="0"/>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44</w:t>
              </w:r>
            </w:hyperlink>
          </w:p>
        </w:tc>
      </w:tr>
      <w:tr>
        <w:trPr>
          <w:trHeight w:val="245"/>
        </w:trPr>
        <w:tc>
          <w:tcPr>
            <w:tcW w:w="7300" w:type="dxa"/>
            <w:vAlign w:val="bottom"/>
            <w:shd w:val="clear" w:color="auto" w:fill="CCEEFF"/>
          </w:tcPr>
          <w:p>
            <w:pPr>
              <w:spacing w:after="0"/>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WHERE YOU CAN FIND MORE INFORMATION</w:t>
              </w:r>
            </w:hyperlink>
          </w:p>
        </w:tc>
        <w:tc>
          <w:tcPr>
            <w:tcW w:w="920" w:type="dxa"/>
            <w:vAlign w:val="bottom"/>
            <w:shd w:val="clear" w:color="auto" w:fill="CCEEFF"/>
          </w:tcPr>
          <w:p>
            <w:pPr>
              <w:jc w:val="right"/>
              <w:ind w:right="155"/>
              <w:spacing w:after="0"/>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44</w:t>
              </w:r>
            </w:hyperlink>
          </w:p>
        </w:tc>
      </w:tr>
      <w:tr>
        <w:trPr>
          <w:trHeight w:val="239"/>
        </w:trPr>
        <w:tc>
          <w:tcPr>
            <w:tcW w:w="7300" w:type="dxa"/>
            <w:vAlign w:val="bottom"/>
          </w:tcPr>
          <w:p>
            <w:pPr>
              <w:spacing w:after="0"/>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INCORPORATION OF CERTAIN INFORMATION BY REFERENCE</w:t>
              </w:r>
            </w:hyperlink>
          </w:p>
        </w:tc>
        <w:tc>
          <w:tcPr>
            <w:tcW w:w="920" w:type="dxa"/>
            <w:vAlign w:val="bottom"/>
          </w:tcPr>
          <w:p>
            <w:pPr>
              <w:jc w:val="right"/>
              <w:ind w:right="155"/>
              <w:spacing w:after="0"/>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44</w:t>
              </w:r>
            </w:hyperlink>
          </w:p>
        </w:tc>
      </w:tr>
      <w:tr>
        <w:trPr>
          <w:trHeight w:val="139"/>
        </w:trPr>
        <w:tc>
          <w:tcPr>
            <w:tcW w:w="7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719"/>
        <w:spacing w:after="0" w:line="266"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43"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174"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TRADEMARKS</w:t>
      </w:r>
    </w:p>
    <w:p>
      <w:pPr>
        <w:spacing w:after="0" w:line="336" w:lineRule="exact"/>
        <w:rPr>
          <w:sz w:val="20"/>
          <w:szCs w:val="20"/>
          <w:color w:val="auto"/>
        </w:rPr>
      </w:pPr>
    </w:p>
    <w:p>
      <w:pPr>
        <w:ind w:left="1260" w:right="859"/>
        <w:spacing w:after="0"/>
        <w:rPr>
          <w:sz w:val="20"/>
          <w:szCs w:val="20"/>
          <w:color w:val="auto"/>
        </w:rPr>
      </w:pPr>
      <w:r>
        <w:rPr>
          <w:rFonts w:ascii="Arial" w:cs="Arial" w:eastAsia="Arial" w:hAnsi="Arial"/>
          <w:sz w:val="17"/>
          <w:szCs w:val="17"/>
          <w:color w:val="auto"/>
        </w:rPr>
        <w:t>“TELA,” the Tela logo, TELA Bio</w:t>
      </w:r>
      <w:r>
        <w:rPr>
          <w:rFonts w:ascii="Arial" w:cs="Arial" w:eastAsia="Arial" w:hAnsi="Arial"/>
          <w:sz w:val="25"/>
          <w:szCs w:val="25"/>
          <w:color w:val="auto"/>
          <w:vertAlign w:val="superscript"/>
        </w:rPr>
        <w:t>®</w:t>
      </w:r>
      <w:r>
        <w:rPr>
          <w:rFonts w:ascii="Arial" w:cs="Arial" w:eastAsia="Arial" w:hAnsi="Arial"/>
          <w:sz w:val="17"/>
          <w:szCs w:val="17"/>
          <w:color w:val="auto"/>
        </w:rPr>
        <w:t>, OviTex</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other trademarks, trade names or service marks of TELA Bio, Inc. appearing in this prospectus are the property of TELA Bio, Inc. All other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 symbols, but those references are not intended to indicate, in any way, that we will not assert, to the fullest extent under applicable law, our rights, or the rights of the applicable licensor to these trademarks and tradenames.</w:t>
      </w:r>
    </w:p>
    <w:p>
      <w:pPr>
        <w:spacing w:after="0" w:line="19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INVESTORS OUTSIDE THE UNITED STATES</w:t>
      </w:r>
    </w:p>
    <w:p>
      <w:pPr>
        <w:spacing w:after="0" w:line="363"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7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INDUSTRY AND MARKET DATA</w:t>
      </w:r>
    </w:p>
    <w:p>
      <w:pPr>
        <w:spacing w:after="0" w:line="363" w:lineRule="exact"/>
        <w:rPr>
          <w:sz w:val="20"/>
          <w:szCs w:val="20"/>
          <w:color w:val="auto"/>
        </w:rPr>
      </w:pPr>
    </w:p>
    <w:p>
      <w:pPr>
        <w:ind w:left="1260" w:right="759"/>
        <w:spacing w:after="0" w:line="266" w:lineRule="auto"/>
        <w:rPr>
          <w:sz w:val="20"/>
          <w:szCs w:val="20"/>
          <w:color w:val="auto"/>
        </w:rPr>
      </w:pPr>
      <w:r>
        <w:rPr>
          <w:rFonts w:ascii="Arial" w:cs="Arial" w:eastAsia="Arial" w:hAnsi="Arial"/>
          <w:sz w:val="17"/>
          <w:szCs w:val="17"/>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prospectus and the documents incorporated by reference into this prospectus.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PROSPECTUS SUMMARY</w:t>
      </w:r>
    </w:p>
    <w:p>
      <w:pPr>
        <w:spacing w:after="0" w:line="332" w:lineRule="exact"/>
        <w:rPr>
          <w:sz w:val="20"/>
          <w:szCs w:val="20"/>
          <w:color w:val="auto"/>
        </w:rPr>
      </w:pPr>
    </w:p>
    <w:p>
      <w:pPr>
        <w:ind w:left="1280" w:right="719"/>
        <w:spacing w:after="0" w:line="252"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is qualified in its entirety by the more detailed information and financial statements included elsewhere or incorporated by reference in this prospectus. This summary is not complete and does not contain all of the information you should consider in making your investment decision. Before investing in our common stock, you should carefully read this entire prospectus and the documents incorporated by reference herein, especially the sections titled “Risk Factors” and “Management’s Discussion and Analysis of Financial Condition and Results of Operations” and our consolidated financial statements and the related notes incorporated by reference in this prospectus. Unless the context otherwise requires, the terms “TELA,” “TELA Bio,” “the company,” “we,” “us,” “our” and similar references in this prospectus refer to TELA Bio, Inc. and its wholly owned subsidiary.</w:t>
      </w:r>
    </w:p>
    <w:p>
      <w:pPr>
        <w:spacing w:after="0" w:line="189"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Overview</w:t>
      </w:r>
    </w:p>
    <w:p>
      <w:pPr>
        <w:spacing w:after="0" w:line="108" w:lineRule="exact"/>
        <w:rPr>
          <w:sz w:val="20"/>
          <w:szCs w:val="20"/>
          <w:color w:val="auto"/>
        </w:rPr>
      </w:pPr>
    </w:p>
    <w:p>
      <w:pPr>
        <w:ind w:left="1280" w:right="659"/>
        <w:spacing w:after="0" w:line="250" w:lineRule="auto"/>
        <w:rPr>
          <w:sz w:val="20"/>
          <w:szCs w:val="20"/>
          <w:color w:val="auto"/>
        </w:rPr>
      </w:pPr>
      <w:r>
        <w:rPr>
          <w:rFonts w:ascii="Arial" w:cs="Arial" w:eastAsia="Arial" w:hAnsi="Arial"/>
          <w:sz w:val="17"/>
          <w:szCs w:val="17"/>
          <w:color w:val="auto"/>
        </w:rPr>
        <w:t>We are a commercial-stage medical technology company focused on designing, developing and marketing a new category of tissue reinforcement materials to address unmet needs in soft tissue reconstruction. We offer a portfolio of advanced reinforced tissue matrices that improve clinical outcomes and reduce overall costs of care in hernia repair, abdominal wall reconstruction and plastic and reconstructive surgery. Our products are an innovative solution that integrate multiple layers of minimally-processed biologic material with interwoven polymers in a unique embroidered pattern, which we refer to as reinforced tissue matrices.</w:t>
      </w:r>
    </w:p>
    <w:p>
      <w:pPr>
        <w:spacing w:after="0" w:line="128" w:lineRule="exact"/>
        <w:rPr>
          <w:sz w:val="20"/>
          <w:szCs w:val="20"/>
          <w:color w:val="auto"/>
        </w:rPr>
      </w:pPr>
    </w:p>
    <w:p>
      <w:pPr>
        <w:ind w:left="1280" w:right="779"/>
        <w:spacing w:after="0" w:line="249" w:lineRule="auto"/>
        <w:rPr>
          <w:sz w:val="20"/>
          <w:szCs w:val="20"/>
          <w:color w:val="auto"/>
        </w:rPr>
      </w:pPr>
      <w:r>
        <w:rPr>
          <w:rFonts w:ascii="Arial" w:cs="Arial" w:eastAsia="Arial" w:hAnsi="Arial"/>
          <w:sz w:val="17"/>
          <w:szCs w:val="17"/>
          <w:color w:val="auto"/>
        </w:rPr>
        <w:t>Our first portfolio of products, the OviTex Reinforced Tissue Matrix, or OviTex, addresses unmet needs in hernia repair and abdominal wall reconstruction by combining the benefits of biologic matrices and polymer materials while minimizing their shortcomings, at a cost-effective price. Our OviTex products have received 510(k) clearance from the U.S. Food and Drug Administration, or the FDA, which clearance was obtained and is currently held by Aroa Biosurgery Ltd., or Aroa, our exclusive manufacturer and supplier, and have demonstrated safety and clinical effectiveness in our ongoing prospective, single arm, multicenter post-market clinical study, which we refer to as our BRAVO study, which is fully enrolled at 92 patients. Ventral hernia recurrence rates in the BRAVO study were 0% among the first 20 patients who reached two year follow-up and 2% among the first 57 patients who reached one year follow-up. Our second portfolio of products, the OviTex PRS Reinforced Tissue Matrix, or OviTex PRS, addresses unmet needs in plastic and reconstructive surgery. In April 2019, our OviTex PRS products received 510(k) clearance from the FDA, which clearance was obtained by Aroa and is currently held by us.</w:t>
      </w:r>
    </w:p>
    <w:p>
      <w:pPr>
        <w:spacing w:after="0" w:line="145" w:lineRule="exact"/>
        <w:rPr>
          <w:sz w:val="20"/>
          <w:szCs w:val="20"/>
          <w:color w:val="auto"/>
        </w:rPr>
      </w:pPr>
    </w:p>
    <w:p>
      <w:pPr>
        <w:ind w:left="1280" w:right="739"/>
        <w:spacing w:after="0" w:line="250" w:lineRule="auto"/>
        <w:rPr>
          <w:sz w:val="20"/>
          <w:szCs w:val="20"/>
          <w:color w:val="auto"/>
        </w:rPr>
      </w:pPr>
      <w:r>
        <w:rPr>
          <w:rFonts w:ascii="Arial" w:cs="Arial" w:eastAsia="Arial" w:hAnsi="Arial"/>
          <w:sz w:val="17"/>
          <w:szCs w:val="17"/>
          <w:color w:val="auto"/>
        </w:rPr>
        <w:t>We began commercialization of our OviTex products in the United States in July 2016, and they are now sold to more than 265 hospital accounts. Our OviTex portfolio consists of multiple products that can be used for ventral hernia repair and abdominal wall reconstruction, inguinal hernia repair and hiatal hernia repair. In addition, to address the significant increase in the number of robotic-assisted hernia repairs over the last several years, we have designed an OviTex product specifically for use in laparoscopic and robotic-assisted surgery called OviTex LPR, which we began commercializing in November 2018. We subsequently expanded the OviTex LPR product line in December 2019.</w:t>
      </w:r>
    </w:p>
    <w:p>
      <w:pPr>
        <w:spacing w:after="0" w:line="141" w:lineRule="exact"/>
        <w:rPr>
          <w:sz w:val="20"/>
          <w:szCs w:val="20"/>
          <w:color w:val="auto"/>
        </w:rPr>
      </w:pPr>
    </w:p>
    <w:p>
      <w:pPr>
        <w:ind w:left="1280" w:right="679"/>
        <w:spacing w:after="0" w:line="250" w:lineRule="auto"/>
        <w:rPr>
          <w:sz w:val="20"/>
          <w:szCs w:val="20"/>
          <w:color w:val="auto"/>
        </w:rPr>
      </w:pPr>
      <w:r>
        <w:rPr>
          <w:rFonts w:ascii="Arial" w:cs="Arial" w:eastAsia="Arial" w:hAnsi="Arial"/>
          <w:sz w:val="17"/>
          <w:szCs w:val="17"/>
          <w:color w:val="auto"/>
        </w:rPr>
        <w:t>OviTex PRS is indicated for use in implantation to reinforce soft tissue where weakness exists in patients requiring soft tissue repair or reinforcement in plastic and reconstructive surgery. We commenced a limited launch in May 2019 and have gathered clinical feedback from our initial surgeon users. Based on this feedback, we expanded our commercial launch in June 2020 and expect to continue to broaden our surgeon network. We also intend to engage in discussions with the FDA regarding an Investigational Device Exemption, or IDE, protocol to study the safety and effectiveness of our OviTex PRS product for an indication in breast reconstruction surgery.</w:t>
      </w:r>
    </w:p>
    <w:p>
      <w:pPr>
        <w:spacing w:after="0" w:line="127" w:lineRule="exact"/>
        <w:rPr>
          <w:sz w:val="20"/>
          <w:szCs w:val="20"/>
          <w:color w:val="auto"/>
        </w:rPr>
      </w:pPr>
    </w:p>
    <w:p>
      <w:pPr>
        <w:ind w:left="1280" w:right="719"/>
        <w:spacing w:after="0" w:line="251" w:lineRule="auto"/>
        <w:rPr>
          <w:sz w:val="20"/>
          <w:szCs w:val="20"/>
          <w:color w:val="auto"/>
        </w:rPr>
      </w:pPr>
      <w:r>
        <w:rPr>
          <w:rFonts w:ascii="Arial" w:cs="Arial" w:eastAsia="Arial" w:hAnsi="Arial"/>
          <w:sz w:val="17"/>
          <w:szCs w:val="17"/>
          <w:color w:val="auto"/>
        </w:rPr>
        <w:t>We have a broad portfolio of intellectual property protecting our products, which we believe, when combined with our proprietary manufacturing processes and know-how, provides significant barriers to entry for potential competitors. In addition, we believe our exclusive manufacturing and long-term supply and license agreement, or the Aroa License, with Aroa creates a competitive advantage by allowing us to secure an exclusive supply of biologic material at a low cost.</w:t>
      </w:r>
    </w:p>
    <w:p>
      <w:pPr>
        <w:spacing w:after="0" w:line="139" w:lineRule="exact"/>
        <w:rPr>
          <w:sz w:val="20"/>
          <w:szCs w:val="20"/>
          <w:color w:val="auto"/>
        </w:rPr>
      </w:pPr>
    </w:p>
    <w:p>
      <w:pPr>
        <w:ind w:left="1280" w:right="1239"/>
        <w:spacing w:after="0" w:line="254" w:lineRule="auto"/>
        <w:rPr>
          <w:sz w:val="20"/>
          <w:szCs w:val="20"/>
          <w:color w:val="auto"/>
        </w:rPr>
      </w:pPr>
      <w:r>
        <w:rPr>
          <w:rFonts w:ascii="Arial" w:cs="Arial" w:eastAsia="Arial" w:hAnsi="Arial"/>
          <w:sz w:val="17"/>
          <w:szCs w:val="17"/>
          <w:color w:val="auto"/>
        </w:rPr>
        <w:t>We market our products through a single direct sales force, predominantly in the United States. As of March 31, 2020, we had 39 sales territories in the United States. We plan to adjust our commercial expansion</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1119"/>
        <w:spacing w:after="0" w:line="259" w:lineRule="auto"/>
        <w:rPr>
          <w:sz w:val="20"/>
          <w:szCs w:val="20"/>
          <w:color w:val="auto"/>
        </w:rPr>
      </w:pPr>
      <w:r>
        <w:rPr>
          <w:rFonts w:ascii="Arial" w:cs="Arial" w:eastAsia="Arial" w:hAnsi="Arial"/>
          <w:sz w:val="17"/>
          <w:szCs w:val="17"/>
          <w:color w:val="auto"/>
        </w:rPr>
        <w:t>plan as appropriate as we continue to better understand the effects of the disease caused by the novel coronavirus, or COVID-19, pandemic on our sales and marketing efforts.</w:t>
      </w:r>
    </w:p>
    <w:p>
      <w:pPr>
        <w:spacing w:after="0" w:line="118" w:lineRule="exact"/>
        <w:rPr>
          <w:sz w:val="20"/>
          <w:szCs w:val="20"/>
          <w:color w:val="auto"/>
        </w:rPr>
      </w:pPr>
    </w:p>
    <w:p>
      <w:pPr>
        <w:ind w:left="1280" w:right="719"/>
        <w:spacing w:after="0" w:line="249" w:lineRule="auto"/>
        <w:rPr>
          <w:sz w:val="20"/>
          <w:szCs w:val="20"/>
          <w:color w:val="auto"/>
        </w:rPr>
      </w:pPr>
      <w:r>
        <w:rPr>
          <w:rFonts w:ascii="Arial" w:cs="Arial" w:eastAsia="Arial" w:hAnsi="Arial"/>
          <w:sz w:val="17"/>
          <w:szCs w:val="17"/>
          <w:color w:val="auto"/>
        </w:rPr>
        <w:t>Our revenue for the years ended December 31, 2019 and 2018 was $15.4 million and $8.3 million, respectively, which represents an increase of $7.2 million, or 87%. Our net loss for the same time periods was $22.4 million and $21.1 million, respectively. Our revenue for the three months ended March 31, 2020 and 2019 was $3.7 million and $3.3 million, respectively, an increase of $0.4 million, or 13%. Though our revenue increased over the prior year period, it was impacted by lower than expected procedure volumes in the second half of March 2020 due to hospitals and patients deferring elective procedures and other factors related to the COVID-19 pandemic. We incurred a net loss of $7.2 million for the three months ended March 31, 2020 as compared to $6.0 million for the three months ended March 31, 2019. We have not been profitable since inception and as of March 31, 2020, we had an accumulated deficit of $175.1 million. The vast majority of our revenue to date has been generated from sales of our OviTex products in the United States.</w:t>
      </w:r>
    </w:p>
    <w:p>
      <w:pPr>
        <w:spacing w:after="0" w:line="15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Our common stock is listed on the Nasdaq Global Market under the trading symbol “TELA.”</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Market Opportunity</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color w:val="auto"/>
        </w:rPr>
        <w:t>OviTex</w:t>
      </w:r>
    </w:p>
    <w:p>
      <w:pPr>
        <w:spacing w:after="0" w:line="54" w:lineRule="exact"/>
        <w:rPr>
          <w:sz w:val="20"/>
          <w:szCs w:val="20"/>
          <w:color w:val="auto"/>
        </w:rPr>
      </w:pPr>
    </w:p>
    <w:p>
      <w:pPr>
        <w:ind w:left="1280" w:right="679"/>
        <w:spacing w:after="0" w:line="250" w:lineRule="auto"/>
        <w:rPr>
          <w:sz w:val="20"/>
          <w:szCs w:val="20"/>
          <w:color w:val="auto"/>
        </w:rPr>
      </w:pPr>
      <w:r>
        <w:rPr>
          <w:rFonts w:ascii="Arial" w:cs="Arial" w:eastAsia="Arial" w:hAnsi="Arial"/>
          <w:sz w:val="17"/>
          <w:szCs w:val="17"/>
          <w:color w:val="auto"/>
        </w:rPr>
        <w:t>Hernia repair is one of the most common surgeries performed in the United States. The vast majority of hernias are treated with surgical repair. Surgical hernia repair is performed either through open repair, which uses a single incision to open the abdomen or groin across the hernia, or minimally invasive repair, which involves laparoscopic or robotic-assisted techniques. In robotic-assisted repair, the surgeon enjoys greater instrument dexterity and precision relative to laparoscopic techniques, and is able to achieve primary closure of the hernia defect. This has contributed to a significant increase in the number of robotic-assisted hernia repair over the last several years.</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There are an estimated 1.2 million hernia repairs annually in the United States including recurrences.</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Approximately 90% of all hernia repairs are treated with a tissue reinforcement material.</w:t>
      </w:r>
    </w:p>
    <w:p>
      <w:pPr>
        <w:spacing w:after="0" w:line="156" w:lineRule="exact"/>
        <w:rPr>
          <w:sz w:val="20"/>
          <w:szCs w:val="20"/>
          <w:color w:val="auto"/>
        </w:rPr>
      </w:pPr>
    </w:p>
    <w:p>
      <w:pPr>
        <w:ind w:left="1280" w:right="799"/>
        <w:spacing w:after="0" w:line="251" w:lineRule="auto"/>
        <w:rPr>
          <w:sz w:val="20"/>
          <w:szCs w:val="20"/>
          <w:color w:val="auto"/>
        </w:rPr>
      </w:pPr>
      <w:r>
        <w:rPr>
          <w:rFonts w:ascii="Arial" w:cs="Arial" w:eastAsia="Arial" w:hAnsi="Arial"/>
          <w:sz w:val="17"/>
          <w:szCs w:val="17"/>
          <w:color w:val="auto"/>
        </w:rPr>
        <w:t>Given the limitations of and lack of innovation in existing hernia repair products, we believe a significant market opportunity exists for our portfolio of OviTex products. Based on the number of each type of hernia repair procedure performed annually in the United States and the volume weighted average selling price of our OviTex products, we estimate the annual U.S. total addressable market opportunity for our OviTex products to be approximately $1.5 billion.</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color w:val="auto"/>
        </w:rPr>
        <w:t>OviTex PRS</w:t>
      </w:r>
    </w:p>
    <w:p>
      <w:pPr>
        <w:spacing w:after="0" w:line="54" w:lineRule="exact"/>
        <w:rPr>
          <w:sz w:val="20"/>
          <w:szCs w:val="20"/>
          <w:color w:val="auto"/>
        </w:rPr>
      </w:pPr>
    </w:p>
    <w:p>
      <w:pPr>
        <w:ind w:left="1280" w:right="739"/>
        <w:spacing w:after="0" w:line="250" w:lineRule="auto"/>
        <w:rPr>
          <w:sz w:val="20"/>
          <w:szCs w:val="20"/>
          <w:color w:val="auto"/>
        </w:rPr>
      </w:pPr>
      <w:r>
        <w:rPr>
          <w:rFonts w:ascii="Arial" w:cs="Arial" w:eastAsia="Arial" w:hAnsi="Arial"/>
          <w:sz w:val="17"/>
          <w:szCs w:val="17"/>
          <w:color w:val="auto"/>
        </w:rPr>
        <w:t>Modern advances in tissue engineering have transformed the plastic and reconstructive surgeon’s management strategies across a wide variety of applications. Because biologic matrices incorporate into host tissues and enable revascularization and functional tissue remodeling, surgeons have realized multiple applications for their use, with techniques tailored to the specific requirements of the surgery. There is growing clinical literature validating the use of biologic matrices in head and neck surgery and reconstructions of the chest wall, pelvic region, extremities and breast.</w:t>
      </w:r>
    </w:p>
    <w:p>
      <w:pPr>
        <w:spacing w:after="0" w:line="142" w:lineRule="exact"/>
        <w:rPr>
          <w:sz w:val="20"/>
          <w:szCs w:val="20"/>
          <w:color w:val="auto"/>
        </w:rPr>
      </w:pPr>
    </w:p>
    <w:p>
      <w:pPr>
        <w:ind w:left="1280" w:right="779"/>
        <w:spacing w:after="0" w:line="250" w:lineRule="auto"/>
        <w:rPr>
          <w:sz w:val="20"/>
          <w:szCs w:val="20"/>
          <w:color w:val="auto"/>
        </w:rPr>
      </w:pPr>
      <w:r>
        <w:rPr>
          <w:rFonts w:ascii="Arial" w:cs="Arial" w:eastAsia="Arial" w:hAnsi="Arial"/>
          <w:sz w:val="17"/>
          <w:szCs w:val="17"/>
          <w:color w:val="auto"/>
        </w:rPr>
        <w:t>In head and neck surgery, biologic matrices are used for both aesthetic and reconstructive purposes. In chest wall reconstruction, biologic matrices are used to repair defects from oncologic resections. In pelvic reconstruction, biologic matrices are utilized as an adjunct in the reconstruction of acquired pelvic defects caused by resections for colorectal, gynecologic and urologic malignancies. In extremities reconstruction, biologic matrices are used in the upper extremity for repair of the donor site following the harvest of a radial forearm free flap, a procedure used to harvest tissue and replace it in the head and neck after cancer has been resected. In breast reconstruction, biologic matrices are utilized for prosthetic based reconstruction following the removal of cancerous breast tissue.</w:t>
      </w:r>
    </w:p>
    <w:p>
      <w:pPr>
        <w:spacing w:after="0" w:line="140" w:lineRule="exact"/>
        <w:rPr>
          <w:sz w:val="20"/>
          <w:szCs w:val="20"/>
          <w:color w:val="auto"/>
        </w:rPr>
      </w:pPr>
    </w:p>
    <w:p>
      <w:pPr>
        <w:ind w:left="1280" w:right="759"/>
        <w:spacing w:after="0" w:line="252" w:lineRule="auto"/>
        <w:rPr>
          <w:sz w:val="20"/>
          <w:szCs w:val="20"/>
          <w:color w:val="auto"/>
        </w:rPr>
      </w:pPr>
      <w:r>
        <w:rPr>
          <w:rFonts w:ascii="Arial" w:cs="Arial" w:eastAsia="Arial" w:hAnsi="Arial"/>
          <w:sz w:val="17"/>
          <w:szCs w:val="17"/>
          <w:color w:val="auto"/>
        </w:rPr>
        <w:t>Based on the current sales of biologic matrices in the United States we estimate the annual U.S. current addressable market opportunity for our OviTex PRS products to be approximately $500 million. This market continues to grow as a result of surgeon and patient preferences shift to techniques that require a larger biologic matrix.</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8225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822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right="879"/>
        <w:spacing w:after="0" w:line="385" w:lineRule="auto"/>
        <w:rPr>
          <w:sz w:val="20"/>
          <w:szCs w:val="20"/>
          <w:color w:val="auto"/>
        </w:rPr>
      </w:pPr>
      <w:r>
        <w:rPr>
          <w:rFonts w:ascii="Arial" w:cs="Arial" w:eastAsia="Arial" w:hAnsi="Arial"/>
          <w:sz w:val="17"/>
          <w:szCs w:val="17"/>
          <w:b w:val="1"/>
          <w:bCs w:val="1"/>
          <w:color w:val="auto"/>
        </w:rPr>
        <w:t xml:space="preserve">Current Materials Used in Hernia Repair and Abdominal Wall Reconstruction and Their Limitations </w:t>
      </w:r>
      <w:r>
        <w:rPr>
          <w:rFonts w:ascii="Arial" w:cs="Arial" w:eastAsia="Arial" w:hAnsi="Arial"/>
          <w:sz w:val="17"/>
          <w:szCs w:val="17"/>
          <w:b w:val="1"/>
          <w:bCs w:val="1"/>
          <w:i w:val="1"/>
          <w:iCs w:val="1"/>
          <w:color w:val="auto"/>
        </w:rPr>
        <w:t>Permanent Synthetic Mesh</w:t>
      </w:r>
    </w:p>
    <w:p>
      <w:pPr>
        <w:ind w:left="1280" w:right="779"/>
        <w:spacing w:after="0" w:line="268" w:lineRule="auto"/>
        <w:rPr>
          <w:sz w:val="20"/>
          <w:szCs w:val="20"/>
          <w:color w:val="auto"/>
        </w:rPr>
      </w:pPr>
      <w:r>
        <w:rPr>
          <w:rFonts w:ascii="Arial" w:cs="Arial" w:eastAsia="Arial" w:hAnsi="Arial"/>
          <w:sz w:val="17"/>
          <w:szCs w:val="17"/>
          <w:color w:val="auto"/>
        </w:rPr>
        <w:t>Permanent synthetic mesh, the oldest category of hernia repair materials, is made of plastic materials that are also used in industrial and consumer products. These products have gained popularity with surgeons because they are relatively inert, can be readily sterilized, exhibit biomechanical strength and durability and are available at relatively low upfront cost. Limitations of permanent synthetic mesh products may include:</w:t>
      </w:r>
    </w:p>
    <w:p>
      <w:pPr>
        <w:spacing w:after="0" w:line="58" w:lineRule="exact"/>
        <w:rPr>
          <w:sz w:val="20"/>
          <w:szCs w:val="20"/>
          <w:color w:val="auto"/>
        </w:rPr>
      </w:pPr>
    </w:p>
    <w:p>
      <w:pPr>
        <w:ind w:left="1860" w:right="1099" w:hanging="220"/>
        <w:spacing w:after="0" w:line="276" w:lineRule="auto"/>
        <w:tabs>
          <w:tab w:leader="none" w:pos="1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significant persistent foreign body inflammatory response that can result in encapsulation of the implant by fibrotic tissue or contraction of the mesh;</w:t>
      </w:r>
    </w:p>
    <w:p>
      <w:pPr>
        <w:spacing w:after="0" w:line="63" w:lineRule="exact"/>
        <w:rPr>
          <w:rFonts w:ascii="Arial" w:cs="Arial" w:eastAsia="Arial" w:hAnsi="Arial"/>
          <w:sz w:val="17"/>
          <w:szCs w:val="17"/>
          <w:color w:val="auto"/>
        </w:rPr>
      </w:pPr>
    </w:p>
    <w:p>
      <w:pPr>
        <w:ind w:left="1860" w:hanging="220"/>
        <w:spacing w:after="0"/>
        <w:tabs>
          <w:tab w:leader="none" w:pos="1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chronic post-operative pain;</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scar tissue formation and lack of regeneration of soft tissue;</w:t>
      </w:r>
    </w:p>
    <w:p>
      <w:pPr>
        <w:spacing w:after="0" w:line="101" w:lineRule="exact"/>
        <w:rPr>
          <w:rFonts w:ascii="Arial" w:cs="Arial" w:eastAsia="Arial" w:hAnsi="Arial"/>
          <w:sz w:val="17"/>
          <w:szCs w:val="17"/>
          <w:color w:val="auto"/>
        </w:rPr>
      </w:pPr>
    </w:p>
    <w:p>
      <w:pPr>
        <w:ind w:left="1860" w:hanging="220"/>
        <w:spacing w:after="0"/>
        <w:tabs>
          <w:tab w:leader="none" w:pos="1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permanent susceptibility to mesh infection;</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significant cost associated with subsequent repairs or failed and infected mesh;</w:t>
      </w:r>
    </w:p>
    <w:p>
      <w:pPr>
        <w:spacing w:after="0" w:line="88" w:lineRule="exact"/>
        <w:rPr>
          <w:rFonts w:ascii="Arial" w:cs="Arial" w:eastAsia="Arial" w:hAnsi="Arial"/>
          <w:sz w:val="17"/>
          <w:szCs w:val="17"/>
          <w:color w:val="auto"/>
        </w:rPr>
      </w:pPr>
    </w:p>
    <w:p>
      <w:pPr>
        <w:ind w:left="1860" w:right="979" w:hanging="220"/>
        <w:spacing w:after="0" w:line="276" w:lineRule="auto"/>
        <w:tabs>
          <w:tab w:leader="none" w:pos="1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compromised abdominal wall anatomy due to damaged and eroded tissue rendering subsequent surgical repairs challenging; and</w:t>
      </w:r>
    </w:p>
    <w:p>
      <w:pPr>
        <w:spacing w:after="0" w:line="63" w:lineRule="exact"/>
        <w:rPr>
          <w:rFonts w:ascii="Arial" w:cs="Arial" w:eastAsia="Arial" w:hAnsi="Arial"/>
          <w:sz w:val="17"/>
          <w:szCs w:val="17"/>
          <w:color w:val="auto"/>
        </w:rPr>
      </w:pPr>
    </w:p>
    <w:p>
      <w:pPr>
        <w:ind w:left="1860" w:hanging="220"/>
        <w:spacing w:after="0"/>
        <w:tabs>
          <w:tab w:leader="none" w:pos="1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migration of the permanent synthetic mesh which can result in organ erosion or perforation.</w:t>
      </w:r>
    </w:p>
    <w:p>
      <w:pPr>
        <w:spacing w:after="0" w:line="169" w:lineRule="exact"/>
        <w:rPr>
          <w:sz w:val="20"/>
          <w:szCs w:val="20"/>
          <w:color w:val="auto"/>
        </w:rPr>
      </w:pPr>
    </w:p>
    <w:p>
      <w:pPr>
        <w:ind w:left="1280" w:right="659"/>
        <w:spacing w:after="0" w:line="267" w:lineRule="auto"/>
        <w:rPr>
          <w:sz w:val="20"/>
          <w:szCs w:val="20"/>
          <w:color w:val="auto"/>
        </w:rPr>
      </w:pPr>
      <w:r>
        <w:rPr>
          <w:rFonts w:ascii="Arial" w:cs="Arial" w:eastAsia="Arial" w:hAnsi="Arial"/>
          <w:sz w:val="17"/>
          <w:szCs w:val="17"/>
          <w:color w:val="auto"/>
        </w:rPr>
        <w:t>Many of these complications caused by permanent synthetic mesh require additional surgical intervention, including explantation of the mesh or repair of hernia recurrence or the abdominal wall. Based on longitudinal data from the Danish Hernia Database, in an analysis of approximately 2,900 patients who received a mesh hernia repair, the observed rate of surgical intervention due to either recurrence or mesh-related complications at five years post operatively was approximately 17%. As a result of these complications and litigation involving these complications, the number of adverse events reported to the FDA for permanent synthetic mesh hernia repairs has risen from 643 in 2016, 2,464 in 2017, to more than 6,400 in 2018 through October. Synthetic mesh products have been the subject of more than 6,000 lawsuits in the United States.</w:t>
      </w:r>
    </w:p>
    <w:p>
      <w:pPr>
        <w:spacing w:after="0" w:line="387"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color w:val="auto"/>
        </w:rPr>
        <w:t>Biologic Matrices</w:t>
      </w:r>
    </w:p>
    <w:p>
      <w:pPr>
        <w:spacing w:after="0" w:line="68" w:lineRule="exact"/>
        <w:rPr>
          <w:sz w:val="20"/>
          <w:szCs w:val="20"/>
          <w:color w:val="auto"/>
        </w:rPr>
      </w:pPr>
    </w:p>
    <w:p>
      <w:pPr>
        <w:ind w:left="1280" w:right="819"/>
        <w:spacing w:after="0" w:line="267" w:lineRule="auto"/>
        <w:rPr>
          <w:sz w:val="20"/>
          <w:szCs w:val="20"/>
          <w:color w:val="auto"/>
        </w:rPr>
      </w:pPr>
      <w:r>
        <w:rPr>
          <w:rFonts w:ascii="Arial" w:cs="Arial" w:eastAsia="Arial" w:hAnsi="Arial"/>
          <w:sz w:val="17"/>
          <w:szCs w:val="17"/>
          <w:color w:val="auto"/>
        </w:rPr>
        <w:t>The complications associated with permanent synthetic mesh prompted the development of biologic matrices as a second category of hernia repair materials. Biologic matrices are derived from human or animal dermis, pericardium or intestinal submucosa, which allows them to become replaced entirely by the patient’s own tissue over time, a process known as remodeling. Compared to permanent synthetic mesh, biologic matrices are less likely to induce an inflammatory response and become infected; however, they may have the following limitations:</w:t>
      </w:r>
    </w:p>
    <w:p>
      <w:pPr>
        <w:spacing w:after="0" w:line="72" w:lineRule="exact"/>
        <w:rPr>
          <w:sz w:val="20"/>
          <w:szCs w:val="20"/>
          <w:color w:val="auto"/>
        </w:rPr>
      </w:pPr>
    </w:p>
    <w:p>
      <w:pPr>
        <w:ind w:left="1860" w:hanging="220"/>
        <w:spacing w:after="0"/>
        <w:tabs>
          <w:tab w:leader="none" w:pos="1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lack strength or durability as compared to synthetic mesh products;</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prone to laxity and stretching;</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difficult to handle, leading to longer operating times as compared to synthetic mesh products;</w:t>
      </w:r>
    </w:p>
    <w:p>
      <w:pPr>
        <w:spacing w:after="0" w:line="101" w:lineRule="exact"/>
        <w:rPr>
          <w:rFonts w:ascii="Arial" w:cs="Arial" w:eastAsia="Arial" w:hAnsi="Arial"/>
          <w:sz w:val="17"/>
          <w:szCs w:val="17"/>
          <w:color w:val="auto"/>
        </w:rPr>
      </w:pPr>
    </w:p>
    <w:p>
      <w:pPr>
        <w:ind w:left="1860" w:hanging="220"/>
        <w:spacing w:after="0"/>
        <w:tabs>
          <w:tab w:leader="none" w:pos="1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to be placed in a patient through a trocar in laparoscopic or robotic-assisted surgery; and</w:t>
      </w:r>
    </w:p>
    <w:p>
      <w:pPr>
        <w:spacing w:after="0" w:line="88" w:lineRule="exact"/>
        <w:rPr>
          <w:rFonts w:ascii="Arial" w:cs="Arial" w:eastAsia="Arial" w:hAnsi="Arial"/>
          <w:sz w:val="17"/>
          <w:szCs w:val="17"/>
          <w:color w:val="auto"/>
        </w:rPr>
      </w:pPr>
    </w:p>
    <w:p>
      <w:pPr>
        <w:ind w:left="1860" w:right="959" w:hanging="220"/>
        <w:spacing w:after="0" w:line="276" w:lineRule="auto"/>
        <w:tabs>
          <w:tab w:leader="none" w:pos="1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considerably more expensive upfront costs than permanent synthetic mesh, typically limiting their use to complex hernia repairs or abdominal wall reconstructions.</w:t>
      </w:r>
    </w:p>
    <w:p>
      <w:pPr>
        <w:spacing w:after="0" w:line="131" w:lineRule="exact"/>
        <w:rPr>
          <w:sz w:val="20"/>
          <w:szCs w:val="20"/>
          <w:color w:val="auto"/>
        </w:rPr>
      </w:pPr>
    </w:p>
    <w:p>
      <w:pPr>
        <w:ind w:left="1280" w:right="659"/>
        <w:spacing w:after="0" w:line="267" w:lineRule="auto"/>
        <w:rPr>
          <w:sz w:val="20"/>
          <w:szCs w:val="20"/>
          <w:color w:val="auto"/>
        </w:rPr>
      </w:pPr>
      <w:r>
        <w:rPr>
          <w:rFonts w:ascii="Arial" w:cs="Arial" w:eastAsia="Arial" w:hAnsi="Arial"/>
          <w:sz w:val="17"/>
          <w:szCs w:val="17"/>
          <w:color w:val="auto"/>
        </w:rPr>
        <w:t>Though hernia recurrence occurs with the use of all types of soft tissue reconstruction, biologic matrices have the highest rates of recurrence, in part as a result of being commonly used in complex hernia repairs or abdominal wall reconstructions. The RICH study, a multicenter, prospective study sponsored by LifeCell Corporation that evaluated the performance of Strattice, the current market-leading biologic matrix, in open ventral incisional hernia repair in contaminated abdominal wall defects, demonstrated post-operative hernia recurrence rates of 22% and 33% at 12-months and 24-months follow-up, respectively.</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color w:val="auto"/>
        </w:rPr>
        <w:t>Resorbable Synthetic Mesh</w:t>
      </w:r>
    </w:p>
    <w:p>
      <w:pPr>
        <w:spacing w:after="0" w:line="68" w:lineRule="exact"/>
        <w:rPr>
          <w:sz w:val="20"/>
          <w:szCs w:val="20"/>
          <w:color w:val="auto"/>
        </w:rPr>
      </w:pPr>
    </w:p>
    <w:p>
      <w:pPr>
        <w:ind w:left="1280" w:right="939"/>
        <w:spacing w:after="0" w:line="268" w:lineRule="auto"/>
        <w:rPr>
          <w:sz w:val="20"/>
          <w:szCs w:val="20"/>
          <w:color w:val="auto"/>
        </w:rPr>
      </w:pPr>
      <w:r>
        <w:rPr>
          <w:rFonts w:ascii="Arial" w:cs="Arial" w:eastAsia="Arial" w:hAnsi="Arial"/>
          <w:sz w:val="17"/>
          <w:szCs w:val="17"/>
          <w:color w:val="auto"/>
        </w:rPr>
        <w:t>Resorbable synthetic mesh was introduced as a third category of hernia repair materials and as an alternative to permanent synthetic mesh and biologic matrices. Resorbable synthetic mesh was designed with the intended benefits of full degradation over several months, a moderately lower cost than biologic matrices and gradual transfer of strength from synthetic mesh to native tissue over time. Resorbable synthetic mesh is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959"/>
        <w:spacing w:after="0" w:line="254" w:lineRule="auto"/>
        <w:rPr>
          <w:sz w:val="20"/>
          <w:szCs w:val="20"/>
          <w:color w:val="auto"/>
        </w:rPr>
      </w:pPr>
      <w:r>
        <w:rPr>
          <w:rFonts w:ascii="Arial" w:cs="Arial" w:eastAsia="Arial" w:hAnsi="Arial"/>
          <w:sz w:val="17"/>
          <w:szCs w:val="17"/>
          <w:color w:val="auto"/>
        </w:rPr>
        <w:t>polymer-based and does not include biologic material to promote tissue remodeling and healing. Despite improvements compared to the use of permanent synthetic mesh or biologic matrices, limitations of resorbable synthetic mesh may include:</w:t>
      </w:r>
    </w:p>
    <w:p>
      <w:pPr>
        <w:spacing w:after="0" w:line="68" w:lineRule="exact"/>
        <w:rPr>
          <w:sz w:val="20"/>
          <w:szCs w:val="20"/>
          <w:color w:val="auto"/>
        </w:rPr>
      </w:pPr>
    </w:p>
    <w:p>
      <w:pPr>
        <w:ind w:left="1860" w:right="799" w:hanging="220"/>
        <w:spacing w:after="0" w:line="276" w:lineRule="auto"/>
        <w:tabs>
          <w:tab w:leader="none" w:pos="1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significant foreign body inflammatory response that can result in encapsulation or contraction of the mesh until resorbed;</w:t>
      </w:r>
    </w:p>
    <w:p>
      <w:pPr>
        <w:spacing w:after="0" w:line="49" w:lineRule="exact"/>
        <w:rPr>
          <w:rFonts w:ascii="Arial" w:cs="Arial" w:eastAsia="Arial" w:hAnsi="Arial"/>
          <w:sz w:val="17"/>
          <w:szCs w:val="17"/>
          <w:color w:val="auto"/>
        </w:rPr>
      </w:pPr>
    </w:p>
    <w:p>
      <w:pPr>
        <w:ind w:left="1860" w:hanging="220"/>
        <w:spacing w:after="0"/>
        <w:tabs>
          <w:tab w:leader="none" w:pos="1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scar tissue formation and lack of remodeling of soft tissue;</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mesh infection until resorbed;</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migration of the synthetic mesh until resorbed which can result in organ erosion or perforation; and</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lack of mid-term and long-term soft tissue reinforcement as resorption progresses.</w:t>
      </w:r>
    </w:p>
    <w:p>
      <w:pPr>
        <w:spacing w:after="0" w:line="156" w:lineRule="exact"/>
        <w:rPr>
          <w:sz w:val="20"/>
          <w:szCs w:val="20"/>
          <w:color w:val="auto"/>
        </w:rPr>
      </w:pPr>
    </w:p>
    <w:p>
      <w:pPr>
        <w:ind w:left="1280" w:right="879"/>
        <w:spacing w:after="0" w:line="252" w:lineRule="auto"/>
        <w:rPr>
          <w:sz w:val="20"/>
          <w:szCs w:val="20"/>
          <w:color w:val="auto"/>
        </w:rPr>
      </w:pPr>
      <w:r>
        <w:rPr>
          <w:rFonts w:ascii="Arial" w:cs="Arial" w:eastAsia="Arial" w:hAnsi="Arial"/>
          <w:sz w:val="17"/>
          <w:szCs w:val="17"/>
          <w:color w:val="auto"/>
        </w:rPr>
        <w:t>Many of these complications can require additional surgical intervention. Data from a recently published, multicenter, prospective study sponsored by C.R. Bard, Inc. that evaluated the performance of Phasix, the current market-leading resorbable synthetic mesh, in CDC Class I, high risk ventral and incisional hernia repair, showed a post-operative hernia recurrence rate of 12% at 18 months follow-up.</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Current Materials Used in Plastic and Reconstructive Surgery and Their Limitations</w:t>
      </w:r>
    </w:p>
    <w:p>
      <w:pPr>
        <w:spacing w:after="0" w:line="95" w:lineRule="exact"/>
        <w:rPr>
          <w:sz w:val="20"/>
          <w:szCs w:val="20"/>
          <w:color w:val="auto"/>
        </w:rPr>
      </w:pPr>
    </w:p>
    <w:p>
      <w:pPr>
        <w:ind w:left="1280" w:right="679"/>
        <w:spacing w:after="0" w:line="251" w:lineRule="auto"/>
        <w:rPr>
          <w:sz w:val="20"/>
          <w:szCs w:val="20"/>
          <w:color w:val="auto"/>
        </w:rPr>
      </w:pPr>
      <w:r>
        <w:rPr>
          <w:rFonts w:ascii="Arial" w:cs="Arial" w:eastAsia="Arial" w:hAnsi="Arial"/>
          <w:sz w:val="17"/>
          <w:szCs w:val="17"/>
          <w:color w:val="auto"/>
        </w:rPr>
        <w:t>Biologic matrices are most commonly used in plastic and reconstructive surgery because of their ability to define shape and position, improve tissue quality, reinforce existing soft tissue and reduce the rate of complications associated with a foreign body inflammatory response. They are, however, prone to excessive stretching over time and difficult for surgeons to handle. These limitations may lead to undesirable results requiring additional surgical intervention. Additionally, biologic matrices are typically expensive to source.</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Our Solution</w:t>
      </w:r>
    </w:p>
    <w:p>
      <w:pPr>
        <w:spacing w:after="0" w:line="95" w:lineRule="exact"/>
        <w:rPr>
          <w:sz w:val="20"/>
          <w:szCs w:val="20"/>
          <w:color w:val="auto"/>
        </w:rPr>
      </w:pPr>
    </w:p>
    <w:p>
      <w:pPr>
        <w:ind w:left="1280" w:right="739"/>
        <w:spacing w:after="0" w:line="250" w:lineRule="auto"/>
        <w:rPr>
          <w:sz w:val="20"/>
          <w:szCs w:val="20"/>
          <w:color w:val="auto"/>
        </w:rPr>
      </w:pPr>
      <w:r>
        <w:rPr>
          <w:rFonts w:ascii="Arial" w:cs="Arial" w:eastAsia="Arial" w:hAnsi="Arial"/>
          <w:sz w:val="17"/>
          <w:szCs w:val="17"/>
          <w:color w:val="auto"/>
        </w:rPr>
        <w:t>We have created a new category of tissue reinforcement materials that were purposefully designed in close collaboration with more than 100 surgeons to address the unmet clinical needs in soft tissue reconstruction. Our portfolio of products, designed with over 95% biologic material, combines the benefits of both biologic and polymer materials while addressing their limitations by interweaving polymer fibers through layers of a minimally-processed biologic material. These products are priced competitively, and designed for use with a range of surgical techniques, allowing the benefits of an advanced biologic repair to be available to more patients.</w:t>
      </w:r>
    </w:p>
    <w:p>
      <w:pPr>
        <w:spacing w:after="0" w:line="141" w:lineRule="exact"/>
        <w:rPr>
          <w:sz w:val="20"/>
          <w:szCs w:val="20"/>
          <w:color w:val="auto"/>
        </w:rPr>
      </w:pPr>
    </w:p>
    <w:p>
      <w:pPr>
        <w:ind w:left="1280" w:right="959"/>
        <w:spacing w:after="0" w:line="251" w:lineRule="auto"/>
        <w:rPr>
          <w:sz w:val="20"/>
          <w:szCs w:val="20"/>
          <w:color w:val="auto"/>
        </w:rPr>
      </w:pPr>
      <w:r>
        <w:rPr>
          <w:rFonts w:ascii="Arial" w:cs="Arial" w:eastAsia="Arial" w:hAnsi="Arial"/>
          <w:sz w:val="17"/>
          <w:szCs w:val="17"/>
          <w:color w:val="auto"/>
        </w:rPr>
        <w:t>Our reinforced tissue matrices are designed to improve the outcomes of soft tissue reconstructions by reinforcing tissue while allowing rapid tissue integration, revascularization and biomechanical control. In addition to overall strength, a key property that we engineer into our products is the degree to which they stretch, known as compliance. Each of our products is designed to exhibit a degree of compliance appropriate for its intended clinical application.</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We believe the principal benefits of our reinforced tissue matrices are:</w:t>
      </w:r>
    </w:p>
    <w:p>
      <w:pPr>
        <w:spacing w:after="0" w:line="68" w:lineRule="exact"/>
        <w:rPr>
          <w:sz w:val="20"/>
          <w:szCs w:val="20"/>
          <w:color w:val="auto"/>
        </w:rPr>
      </w:pPr>
    </w:p>
    <w:p>
      <w:pPr>
        <w:ind w:left="1860" w:right="719" w:hanging="220"/>
        <w:spacing w:after="0" w:line="272" w:lineRule="auto"/>
        <w:tabs>
          <w:tab w:leader="none" w:pos="18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Reduced foreign body inflammatory response. </w:t>
      </w:r>
      <w:r>
        <w:rPr>
          <w:rFonts w:ascii="Arial" w:cs="Arial" w:eastAsia="Arial" w:hAnsi="Arial"/>
          <w:sz w:val="17"/>
          <w:szCs w:val="17"/>
          <w:color w:val="auto"/>
        </w:rPr>
        <w:t>The biologic material utilized in our reinforced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tissue matrices acts to reduce the body’s inflammatory response to the device. In our non-human primate comparative study in which we compared our OviTex products to several commercially available synthetic mesh and biologic matrix products, our OviTex products demonstrated a minimal foreign body inflammatory response, similar to biologic matrices, and less foreign body inflammatory response than all of the synthetic mesh tested at 24 weeks.</w:t>
      </w:r>
    </w:p>
    <w:p>
      <w:pPr>
        <w:spacing w:after="0" w:line="34" w:lineRule="exact"/>
        <w:rPr>
          <w:rFonts w:ascii="Arial" w:cs="Arial" w:eastAsia="Arial" w:hAnsi="Arial"/>
          <w:sz w:val="17"/>
          <w:szCs w:val="17"/>
          <w:color w:val="auto"/>
        </w:rPr>
      </w:pPr>
    </w:p>
    <w:p>
      <w:pPr>
        <w:ind w:left="1860" w:right="739" w:hanging="220"/>
        <w:spacing w:after="0" w:line="270" w:lineRule="auto"/>
        <w:tabs>
          <w:tab w:leader="none" w:pos="18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Enhanced remodeling of soft tissue and rate of healing. </w:t>
      </w:r>
      <w:r>
        <w:rPr>
          <w:rFonts w:ascii="Arial" w:cs="Arial" w:eastAsia="Arial" w:hAnsi="Arial"/>
          <w:sz w:val="17"/>
          <w:szCs w:val="17"/>
          <w:color w:val="auto"/>
        </w:rPr>
        <w:t>Our reinforced tissue matrices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constructed to provide increased surface area and permeability, allowing for rapid absorption of wound fluids and blood during implantation and enabling improved supply of oxygen, cellular infiltration, migration, and repopulation for revascularization and functional tissue remodeling during healing. In our non-human primate comparative study, at 24 weeks the pattern of collagen formation in our OviTex products was reminiscent of connective tissue as opposed to the random fibers typical of scar tissue that were seen adjacent to the synthetic mesh. By contrast, the synthetic mesh showed no signs of remodeling of soft tissue and exhibited a high level of mesh contraction.</w:t>
      </w:r>
    </w:p>
    <w:p>
      <w:pPr>
        <w:spacing w:after="0" w:line="36" w:lineRule="exact"/>
        <w:rPr>
          <w:rFonts w:ascii="Arial" w:cs="Arial" w:eastAsia="Arial" w:hAnsi="Arial"/>
          <w:sz w:val="17"/>
          <w:szCs w:val="17"/>
          <w:color w:val="auto"/>
        </w:rPr>
      </w:pPr>
    </w:p>
    <w:p>
      <w:pPr>
        <w:ind w:left="1860" w:right="819" w:hanging="220"/>
        <w:spacing w:after="0" w:line="283" w:lineRule="auto"/>
        <w:tabs>
          <w:tab w:leader="none" w:pos="18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Ability to tolerate a contaminated wound environment. </w:t>
      </w:r>
      <w:r>
        <w:rPr>
          <w:rFonts w:ascii="Arial" w:cs="Arial" w:eastAsia="Arial" w:hAnsi="Arial"/>
          <w:sz w:val="17"/>
          <w:szCs w:val="17"/>
          <w:color w:val="auto"/>
        </w:rPr>
        <w:t>Our reinforced tissue matrices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engineered to create hundreds of micro-channels to promote fluid exchange to allow host cells and new blood vessels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8010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60" w:right="919"/>
        <w:spacing w:after="0" w:line="268" w:lineRule="auto"/>
        <w:rPr>
          <w:sz w:val="20"/>
          <w:szCs w:val="20"/>
          <w:color w:val="auto"/>
        </w:rPr>
      </w:pPr>
      <w:r>
        <w:rPr>
          <w:rFonts w:ascii="Arial" w:cs="Arial" w:eastAsia="Arial" w:hAnsi="Arial"/>
          <w:sz w:val="17"/>
          <w:szCs w:val="17"/>
          <w:color w:val="auto"/>
        </w:rPr>
        <w:t>to penetrate the reinforced tissue matrix. In our non-human primate comparative study, at four weeks, our OviTex products had host cells between and within the layers of the reinforced tissue matrix. We believe this early cell infiltration may reduce the potential for bacterial colonization and the risk for infection. In our OviTex BRAVO study, there were no wound infections that required surgical intervention or device removal in the first 57 patients who reached one year follow-up.</w:t>
      </w:r>
    </w:p>
    <w:p>
      <w:pPr>
        <w:spacing w:after="0" w:line="50" w:lineRule="exact"/>
        <w:rPr>
          <w:sz w:val="20"/>
          <w:szCs w:val="20"/>
          <w:color w:val="auto"/>
        </w:rPr>
      </w:pPr>
    </w:p>
    <w:p>
      <w:pPr>
        <w:ind w:left="1860" w:right="739" w:hanging="220"/>
        <w:spacing w:after="0" w:line="269" w:lineRule="auto"/>
        <w:tabs>
          <w:tab w:leader="none" w:pos="18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Highly engineered biomechanical properties with durability of results. </w:t>
      </w:r>
      <w:r>
        <w:rPr>
          <w:rFonts w:ascii="Arial" w:cs="Arial" w:eastAsia="Arial" w:hAnsi="Arial"/>
          <w:sz w:val="17"/>
          <w:szCs w:val="17"/>
          <w:color w:val="auto"/>
        </w:rPr>
        <w:t>The interwoven polymer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increases the strength of our OviTex products by approximately 25% compared to the biologic material alone. When tensile forces are applied, this design allows for load sharing between the biologic material and the polymer during the remodeling process. Data from our strength testing demonstrated that our OviTex products meet or exceed that of published data from market-leading permanent and resorbable synthetic mesh. In our BRAVO study, there was only one hernia recurrence in the first 57 patients who reached one year follow-up, despite a significant majority of these patients having one or more factors known to increase the risk of recurrence, and no hernia recurrences in the first 20 patients who reached two year follow-up.</w:t>
      </w:r>
    </w:p>
    <w:p>
      <w:pPr>
        <w:spacing w:after="0" w:line="39" w:lineRule="exact"/>
        <w:rPr>
          <w:rFonts w:ascii="Arial" w:cs="Arial" w:eastAsia="Arial" w:hAnsi="Arial"/>
          <w:sz w:val="17"/>
          <w:szCs w:val="17"/>
          <w:color w:val="auto"/>
        </w:rPr>
      </w:pPr>
    </w:p>
    <w:p>
      <w:pPr>
        <w:ind w:left="1860" w:right="739" w:hanging="220"/>
        <w:spacing w:after="0" w:line="274" w:lineRule="auto"/>
        <w:tabs>
          <w:tab w:leader="none" w:pos="18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Enhanced surgeon handling and satisfaction. </w:t>
      </w:r>
      <w:r>
        <w:rPr>
          <w:rFonts w:ascii="Arial" w:cs="Arial" w:eastAsia="Arial" w:hAnsi="Arial"/>
          <w:sz w:val="17"/>
          <w:szCs w:val="17"/>
          <w:color w:val="auto"/>
        </w:rPr>
        <w:t>Each of our embroidery patterns was designed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specifically to allow the surgeon to trim and shape the product without the polymer unraveling. In addition, based upon our survey of approximately 50 surgeons, our OviTex products conform readily to the contours of surgical sites and are easy to handle, trim, suture and tack in all surgical approaches.</w:t>
      </w:r>
    </w:p>
    <w:p>
      <w:pPr>
        <w:spacing w:after="0" w:line="45" w:lineRule="exact"/>
        <w:rPr>
          <w:rFonts w:ascii="Arial" w:cs="Arial" w:eastAsia="Arial" w:hAnsi="Arial"/>
          <w:sz w:val="17"/>
          <w:szCs w:val="17"/>
          <w:color w:val="auto"/>
        </w:rPr>
      </w:pPr>
    </w:p>
    <w:p>
      <w:pPr>
        <w:ind w:left="1860" w:right="699" w:hanging="220"/>
        <w:spacing w:after="0" w:line="272" w:lineRule="auto"/>
        <w:tabs>
          <w:tab w:leader="none" w:pos="18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Lower upfront cost products. </w:t>
      </w:r>
      <w:r>
        <w:rPr>
          <w:rFonts w:ascii="Arial" w:cs="Arial" w:eastAsia="Arial" w:hAnsi="Arial"/>
          <w:sz w:val="17"/>
          <w:szCs w:val="17"/>
          <w:color w:val="auto"/>
        </w:rPr>
        <w:t>Our reinforced tissue matrices provide our customers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meaningful cost savings over leading competitive products across a broad range of clinical uses so that more patients can experience the benefits of an advanced biologic repair solution. We price our OviTex products competitively, and on average, our customers realize 20% to 40% cost savings over leading biologic matrices and resorbable synthetic mesh. Our OviTex PRS portfolio is priced below leading biologic matrices.</w:t>
      </w:r>
    </w:p>
    <w:p>
      <w:pPr>
        <w:spacing w:after="0" w:line="135" w:lineRule="exact"/>
        <w:rPr>
          <w:sz w:val="20"/>
          <w:szCs w:val="20"/>
          <w:color w:val="auto"/>
        </w:rPr>
      </w:pPr>
    </w:p>
    <w:p>
      <w:pPr>
        <w:ind w:left="1280" w:right="699"/>
        <w:spacing w:after="0" w:line="268" w:lineRule="auto"/>
        <w:rPr>
          <w:sz w:val="20"/>
          <w:szCs w:val="20"/>
          <w:color w:val="auto"/>
        </w:rPr>
      </w:pPr>
      <w:r>
        <w:rPr>
          <w:rFonts w:ascii="Arial" w:cs="Arial" w:eastAsia="Arial" w:hAnsi="Arial"/>
          <w:sz w:val="17"/>
          <w:szCs w:val="17"/>
          <w:color w:val="auto"/>
        </w:rPr>
        <w:t>The table below presents the recurrence rate for the first 20 patients who reached two year follow-up and for the first 57 patients who reached one year follow-upin our BRAVO study, as compared to recurrence rate data published in clinical literature or presented at industry conferences from prospective clinical studies in ventral hernia repairs utilizing our competitors’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500" w:right="679" w:hanging="220"/>
        <w:spacing w:after="0" w:line="211" w:lineRule="auto"/>
        <w:tabs>
          <w:tab w:leader="none" w:pos="1500" w:val="left"/>
        </w:tabs>
        <w:numPr>
          <w:ilvl w:val="0"/>
          <w:numId w:val="7"/>
        </w:numPr>
        <w:rPr>
          <w:rFonts w:ascii="Arial" w:cs="Arial" w:eastAsia="Arial" w:hAnsi="Arial"/>
          <w:sz w:val="20"/>
          <w:szCs w:val="20"/>
          <w:color w:val="auto"/>
          <w:vertAlign w:val="superscript"/>
        </w:rPr>
      </w:pPr>
      <w:r>
        <w:rPr>
          <w:rFonts w:ascii="Arial" w:cs="Arial" w:eastAsia="Arial" w:hAnsi="Arial"/>
          <w:sz w:val="13"/>
          <w:szCs w:val="13"/>
          <w:color w:val="auto"/>
        </w:rPr>
        <w:t>Hernia Recurrence Rate based on number of hernia recurrences reported in patients who completed follow up and patients who reported recurrent hernia before the specified follow up period. Clinical literature and conference presentations included hernia recurrence rates based on number of hernia recurrences in patients who comprised the initial intent-to-treat population (including those who did not complete the follow up period and did not report a hernia recurrence).</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Our Strengths</w:t>
      </w:r>
    </w:p>
    <w:p>
      <w:pPr>
        <w:spacing w:after="0" w:line="108" w:lineRule="exact"/>
        <w:rPr>
          <w:sz w:val="20"/>
          <w:szCs w:val="20"/>
          <w:color w:val="auto"/>
        </w:rPr>
      </w:pPr>
    </w:p>
    <w:p>
      <w:pPr>
        <w:ind w:left="1280" w:right="879"/>
        <w:spacing w:after="0" w:line="270" w:lineRule="auto"/>
        <w:rPr>
          <w:sz w:val="20"/>
          <w:szCs w:val="20"/>
          <w:color w:val="auto"/>
        </w:rPr>
      </w:pPr>
      <w:r>
        <w:rPr>
          <w:rFonts w:ascii="Arial" w:cs="Arial" w:eastAsia="Arial" w:hAnsi="Arial"/>
          <w:sz w:val="17"/>
          <w:szCs w:val="17"/>
          <w:color w:val="auto"/>
        </w:rPr>
        <w:t>We are focused on developing and commercializing a new category of tissue reinforcement materials for surgeons and patients that aim to address the shortcomings of existing products. We believe the following strengths will allow us to build our business and potentially increase our market penetration:</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80619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60" w:right="739" w:hanging="220"/>
        <w:spacing w:after="0" w:line="277" w:lineRule="auto"/>
        <w:tabs>
          <w:tab w:leader="none" w:pos="18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Innovative and broad portfolio of products. </w:t>
      </w:r>
      <w:r>
        <w:rPr>
          <w:rFonts w:ascii="Arial" w:cs="Arial" w:eastAsia="Arial" w:hAnsi="Arial"/>
          <w:sz w:val="17"/>
          <w:szCs w:val="17"/>
          <w:color w:val="auto"/>
        </w:rPr>
        <w:t>Our OviTex and OviTex PRS products are the only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FDA-cleared products to incorporate polymer fibers interwoven through layers of biologic material in a lockstitch pattern creating an embroidered construction. Our OviTex and OviTex PRS products are available in resorbable and permanent polymer versions in a variety of configurations and sizes.</w:t>
      </w:r>
    </w:p>
    <w:p>
      <w:pPr>
        <w:spacing w:after="0" w:line="29" w:lineRule="exact"/>
        <w:rPr>
          <w:rFonts w:ascii="Arial" w:cs="Arial" w:eastAsia="Arial" w:hAnsi="Arial"/>
          <w:sz w:val="17"/>
          <w:szCs w:val="17"/>
          <w:color w:val="auto"/>
        </w:rPr>
      </w:pPr>
    </w:p>
    <w:p>
      <w:pPr>
        <w:ind w:left="1860" w:right="759" w:hanging="220"/>
        <w:spacing w:after="0" w:line="283" w:lineRule="auto"/>
        <w:tabs>
          <w:tab w:leader="none" w:pos="18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Disruptive technology supported by compelling clinical evidence. </w:t>
      </w:r>
      <w:r>
        <w:rPr>
          <w:rFonts w:ascii="Arial" w:cs="Arial" w:eastAsia="Arial" w:hAnsi="Arial"/>
          <w:sz w:val="17"/>
          <w:szCs w:val="17"/>
          <w:color w:val="auto"/>
        </w:rPr>
        <w:t>The safety, efficacy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durability of our OviTex products are supported by compelling clinical evidence that includes studies in more than 200 non-human primates and our BRAVO study.</w:t>
      </w:r>
    </w:p>
    <w:p>
      <w:pPr>
        <w:spacing w:after="0" w:line="37" w:lineRule="exact"/>
        <w:rPr>
          <w:rFonts w:ascii="Arial" w:cs="Arial" w:eastAsia="Arial" w:hAnsi="Arial"/>
          <w:sz w:val="17"/>
          <w:szCs w:val="17"/>
          <w:color w:val="auto"/>
        </w:rPr>
      </w:pPr>
    </w:p>
    <w:p>
      <w:pPr>
        <w:ind w:left="1860" w:right="759" w:hanging="220"/>
        <w:spacing w:after="0" w:line="277" w:lineRule="auto"/>
        <w:tabs>
          <w:tab w:leader="none" w:pos="18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Long-term supply agreement that provides pricing flexibility. </w:t>
      </w:r>
      <w:r>
        <w:rPr>
          <w:rFonts w:ascii="Arial" w:cs="Arial" w:eastAsia="Arial" w:hAnsi="Arial"/>
          <w:sz w:val="17"/>
          <w:szCs w:val="17"/>
          <w:color w:val="auto"/>
        </w:rPr>
        <w:t>Our Aroa License provides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exclusive supply of ovine rumen and manufacture of our OviTex and OviTex PRS products, which gives us a low and fixed cost of raw materials. We purchase product from Aroa at a fixed cost equal to 27% of our net sales of licensed products.</w:t>
      </w:r>
    </w:p>
    <w:p>
      <w:pPr>
        <w:spacing w:after="0" w:line="29" w:lineRule="exact"/>
        <w:rPr>
          <w:rFonts w:ascii="Arial" w:cs="Arial" w:eastAsia="Arial" w:hAnsi="Arial"/>
          <w:sz w:val="17"/>
          <w:szCs w:val="17"/>
          <w:color w:val="auto"/>
        </w:rPr>
      </w:pPr>
    </w:p>
    <w:p>
      <w:pPr>
        <w:ind w:left="1860" w:right="739" w:hanging="220"/>
        <w:spacing w:after="0" w:line="301" w:lineRule="auto"/>
        <w:tabs>
          <w:tab w:leader="none" w:pos="18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Potential cost savings to healthcare systems and hospitals. </w:t>
      </w:r>
      <w:r>
        <w:rPr>
          <w:rFonts w:ascii="Arial" w:cs="Arial" w:eastAsia="Arial" w:hAnsi="Arial"/>
          <w:sz w:val="17"/>
          <w:szCs w:val="17"/>
          <w:color w:val="auto"/>
        </w:rPr>
        <w:t>Our OviTex products are sold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prices approximately 20% to 40% lower than other biologic matrices and resorbable synthetic mesh.</w:t>
      </w:r>
    </w:p>
    <w:p>
      <w:pPr>
        <w:spacing w:after="0" w:line="22" w:lineRule="exact"/>
        <w:rPr>
          <w:rFonts w:ascii="Arial" w:cs="Arial" w:eastAsia="Arial" w:hAnsi="Arial"/>
          <w:sz w:val="17"/>
          <w:szCs w:val="17"/>
          <w:color w:val="auto"/>
        </w:rPr>
      </w:pPr>
    </w:p>
    <w:p>
      <w:pPr>
        <w:ind w:left="1860" w:right="759" w:hanging="220"/>
        <w:spacing w:after="0" w:line="271" w:lineRule="auto"/>
        <w:tabs>
          <w:tab w:leader="none" w:pos="18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Established reimbursement pathway for hernia repair. </w:t>
      </w:r>
      <w:r>
        <w:rPr>
          <w:rFonts w:ascii="Arial" w:cs="Arial" w:eastAsia="Arial" w:hAnsi="Arial"/>
          <w:sz w:val="17"/>
          <w:szCs w:val="17"/>
          <w:color w:val="auto"/>
        </w:rPr>
        <w:t>The implantation of biologic matrices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synthetic mesh for hernia repair is coded using an established fixed procedure payment system known as an MS-DRG, which consists of a lump sum payment rate that varies based on the degree of complications and comorbidities of each hernia. In addition, surgeons receive payment for their services depending on the coding associated with the procedure. The MS-DRG-based reimbursement system encourages hospitals to become more efficient in treating patients due to its fixed per-patient reimbursement nature.</w:t>
      </w:r>
    </w:p>
    <w:p>
      <w:pPr>
        <w:spacing w:after="0" w:line="34" w:lineRule="exact"/>
        <w:rPr>
          <w:rFonts w:ascii="Arial" w:cs="Arial" w:eastAsia="Arial" w:hAnsi="Arial"/>
          <w:sz w:val="17"/>
          <w:szCs w:val="17"/>
          <w:color w:val="auto"/>
        </w:rPr>
      </w:pPr>
    </w:p>
    <w:p>
      <w:pPr>
        <w:ind w:left="1860" w:right="759" w:hanging="220"/>
        <w:spacing w:after="0" w:line="274" w:lineRule="auto"/>
        <w:tabs>
          <w:tab w:leader="none" w:pos="18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 intellectual property portfolio. </w:t>
      </w:r>
      <w:r>
        <w:rPr>
          <w:rFonts w:ascii="Arial" w:cs="Arial" w:eastAsia="Arial" w:hAnsi="Arial"/>
          <w:sz w:val="17"/>
          <w:szCs w:val="17"/>
          <w:color w:val="auto"/>
        </w:rPr>
        <w:t>Our products are covered by intellectual property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broadly covers changing a biologic matrix’s biomechanical properties by interweaving a polymer thread through the biologic matrix. Through the Aroa License and our issued or allowed patents and patent applications, we have a broad portfolio of intellectual property that is leveraged in all of our reinforced tissue matrix products.</w:t>
      </w:r>
    </w:p>
    <w:p>
      <w:pPr>
        <w:spacing w:after="0" w:line="45" w:lineRule="exact"/>
        <w:rPr>
          <w:rFonts w:ascii="Arial" w:cs="Arial" w:eastAsia="Arial" w:hAnsi="Arial"/>
          <w:sz w:val="17"/>
          <w:szCs w:val="17"/>
          <w:color w:val="auto"/>
        </w:rPr>
      </w:pPr>
    </w:p>
    <w:p>
      <w:pPr>
        <w:ind w:left="1860" w:right="879" w:hanging="220"/>
        <w:spacing w:after="0" w:line="277" w:lineRule="auto"/>
        <w:tabs>
          <w:tab w:leader="none" w:pos="18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Industry leading executive team with proven track record. </w:t>
      </w:r>
      <w:r>
        <w:rPr>
          <w:rFonts w:ascii="Arial" w:cs="Arial" w:eastAsia="Arial" w:hAnsi="Arial"/>
          <w:sz w:val="17"/>
          <w:szCs w:val="17"/>
          <w:color w:val="auto"/>
        </w:rPr>
        <w:t>Our executive team consists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seasoned medical device professionals with deep industry experience and expertise who have led and managed companies through significant growth and introduction and commercialization of multiple new products, including driving surgeon adoption of biologic and biosurgery technologies.</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Our Growth Strategy</w:t>
      </w:r>
    </w:p>
    <w:p>
      <w:pPr>
        <w:spacing w:after="0" w:line="108" w:lineRule="exact"/>
        <w:rPr>
          <w:sz w:val="20"/>
          <w:szCs w:val="20"/>
          <w:color w:val="auto"/>
        </w:rPr>
      </w:pPr>
    </w:p>
    <w:p>
      <w:pPr>
        <w:ind w:left="1280" w:right="879"/>
        <w:spacing w:after="0" w:line="276" w:lineRule="auto"/>
        <w:rPr>
          <w:sz w:val="20"/>
          <w:szCs w:val="20"/>
          <w:color w:val="auto"/>
        </w:rPr>
      </w:pPr>
      <w:r>
        <w:rPr>
          <w:rFonts w:ascii="Arial" w:cs="Arial" w:eastAsia="Arial" w:hAnsi="Arial"/>
          <w:sz w:val="17"/>
          <w:szCs w:val="17"/>
          <w:color w:val="auto"/>
        </w:rPr>
        <w:t>Our goal is to become the leading provider of soft tissue reconstruction products. The key elements of our strategy include:</w:t>
      </w:r>
    </w:p>
    <w:p>
      <w:pPr>
        <w:spacing w:after="0" w:line="30" w:lineRule="exact"/>
        <w:rPr>
          <w:sz w:val="20"/>
          <w:szCs w:val="20"/>
          <w:color w:val="auto"/>
        </w:rPr>
      </w:pPr>
    </w:p>
    <w:p>
      <w:pPr>
        <w:ind w:left="1860" w:right="659" w:hanging="220"/>
        <w:spacing w:after="0" w:line="272" w:lineRule="auto"/>
        <w:tabs>
          <w:tab w:leader="none" w:pos="186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U.S. commercial organization to support our growth. </w:t>
      </w:r>
      <w:r>
        <w:rPr>
          <w:rFonts w:ascii="Arial" w:cs="Arial" w:eastAsia="Arial" w:hAnsi="Arial"/>
          <w:sz w:val="17"/>
          <w:szCs w:val="17"/>
          <w:color w:val="auto"/>
        </w:rPr>
        <w:t>We sell our products through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single direct sales organization in the United States. We have implemented a temporary hiring freeze due to the impact of the COVID-19 pandemic on our sales and marketing operations; however, when that freeze is lifted, we plan to continue to invest in our commercial organization by adding account managers, clinical development specialists, business managers and administrative support staff in order to cover the highest potential of accounts for soft tissue reconstruction procedures.</w:t>
      </w:r>
    </w:p>
    <w:p>
      <w:pPr>
        <w:spacing w:after="0" w:line="34" w:lineRule="exact"/>
        <w:rPr>
          <w:rFonts w:ascii="Arial" w:cs="Arial" w:eastAsia="Arial" w:hAnsi="Arial"/>
          <w:sz w:val="17"/>
          <w:szCs w:val="17"/>
          <w:color w:val="auto"/>
        </w:rPr>
      </w:pPr>
    </w:p>
    <w:p>
      <w:pPr>
        <w:ind w:left="1860" w:right="939" w:hanging="220"/>
        <w:spacing w:after="0" w:line="269" w:lineRule="auto"/>
        <w:tabs>
          <w:tab w:leader="none" w:pos="186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Promote awareness of our products to drive surgeon use. </w:t>
      </w:r>
      <w:r>
        <w:rPr>
          <w:rFonts w:ascii="Arial" w:cs="Arial" w:eastAsia="Arial" w:hAnsi="Arial"/>
          <w:sz w:val="17"/>
          <w:szCs w:val="17"/>
          <w:color w:val="auto"/>
        </w:rPr>
        <w:t>Typically, we educate surgeons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regarding the value proposition of our products through presentations and exhibits at industry conferences, medical education symposia, direct training and education, webinars and publishing additional clinical data demonstrating the benefits of our products and establishing online peer-to-peer communities. In light of the COVID-19 pandemic, we have shifted our sales and marketing efforts to a virtual selling program, which includes virtual sales calls with physicians, peer-to-peer discussions with key opinion leaders, and physician webinars, instead of in-person sales and marketing programs. We expect to continue to adapt our sales and marketing plans as we better understand the effects of the COVID-19 pandemic on our business.</w:t>
      </w:r>
    </w:p>
    <w:p>
      <w:pPr>
        <w:spacing w:after="0" w:line="53" w:lineRule="exact"/>
        <w:rPr>
          <w:rFonts w:ascii="Arial" w:cs="Arial" w:eastAsia="Arial" w:hAnsi="Arial"/>
          <w:sz w:val="17"/>
          <w:szCs w:val="17"/>
          <w:color w:val="auto"/>
        </w:rPr>
      </w:pPr>
    </w:p>
    <w:p>
      <w:pPr>
        <w:ind w:left="1860" w:right="659" w:hanging="220"/>
        <w:spacing w:after="0" w:line="274" w:lineRule="auto"/>
        <w:tabs>
          <w:tab w:leader="none" w:pos="186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utilization through existing GPO and IDN contracts and secure additional contracts. </w:t>
      </w:r>
      <w:r>
        <w:rPr>
          <w:rFonts w:ascii="Arial" w:cs="Arial" w:eastAsia="Arial" w:hAnsi="Arial"/>
          <w:sz w:val="17"/>
          <w:szCs w:val="17"/>
          <w:color w:val="auto"/>
        </w:rPr>
        <w:t>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secured GPO contracts that provide us with access to approximately 1,900 hospitals, which are estimated to perform over 135,000 addressable soft tissue reconstruction procedures annually, and we are focused on partnering with our contracted customers to promote implementation of our contracts, increase</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8181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818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60" w:right="919"/>
        <w:spacing w:after="0" w:line="259" w:lineRule="auto"/>
        <w:rPr>
          <w:sz w:val="20"/>
          <w:szCs w:val="20"/>
          <w:color w:val="auto"/>
        </w:rPr>
      </w:pPr>
      <w:r>
        <w:rPr>
          <w:rFonts w:ascii="Arial" w:cs="Arial" w:eastAsia="Arial" w:hAnsi="Arial"/>
          <w:sz w:val="17"/>
          <w:szCs w:val="17"/>
          <w:color w:val="auto"/>
        </w:rPr>
        <w:t>our access to surgeon customers, broaden awareness of products and help drive utilization of our products within associated hospitals and healthcare systems.</w:t>
      </w:r>
    </w:p>
    <w:p>
      <w:pPr>
        <w:spacing w:after="0" w:line="44" w:lineRule="exact"/>
        <w:rPr>
          <w:sz w:val="20"/>
          <w:szCs w:val="20"/>
          <w:color w:val="auto"/>
        </w:rPr>
      </w:pPr>
    </w:p>
    <w:p>
      <w:pPr>
        <w:ind w:left="1860" w:right="819" w:hanging="220"/>
        <w:spacing w:after="0" w:line="283" w:lineRule="auto"/>
        <w:tabs>
          <w:tab w:leader="none" w:pos="18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build upon clinical evidence of the effectiveness and safety of our products. </w:t>
      </w:r>
      <w:r>
        <w:rPr>
          <w:rFonts w:ascii="Arial" w:cs="Arial" w:eastAsia="Arial" w:hAnsi="Arial"/>
          <w:sz w:val="17"/>
          <w:szCs w:val="17"/>
          <w:color w:val="auto"/>
        </w:rPr>
        <w:t>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committed to evidence-based medicine and investing in clinical data to support the use of our products.</w:t>
      </w:r>
    </w:p>
    <w:p>
      <w:pPr>
        <w:spacing w:after="0" w:line="24" w:lineRule="exact"/>
        <w:rPr>
          <w:rFonts w:ascii="Arial" w:cs="Arial" w:eastAsia="Arial" w:hAnsi="Arial"/>
          <w:sz w:val="17"/>
          <w:szCs w:val="17"/>
          <w:color w:val="auto"/>
        </w:rPr>
      </w:pPr>
    </w:p>
    <w:p>
      <w:pPr>
        <w:jc w:val="both"/>
        <w:ind w:left="1860" w:right="1119" w:hanging="220"/>
        <w:spacing w:after="0" w:line="283" w:lineRule="auto"/>
        <w:tabs>
          <w:tab w:leader="none" w:pos="18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 our portfolio of reinforced tissue matrices with the introduction of new product features and designs. </w:t>
      </w:r>
      <w:r>
        <w:rPr>
          <w:rFonts w:ascii="Arial" w:cs="Arial" w:eastAsia="Arial" w:hAnsi="Arial"/>
          <w:sz w:val="17"/>
          <w:szCs w:val="17"/>
          <w:color w:val="auto"/>
        </w:rPr>
        <w:t>We plan to continue to expand our product offerings and the treatment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capabilities of our products to address a broader patient base within soft tissue reconstruction.</w:t>
      </w:r>
    </w:p>
    <w:p>
      <w:pPr>
        <w:spacing w:after="0" w:line="159"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Recent Developments</w:t>
      </w:r>
    </w:p>
    <w:p>
      <w:pPr>
        <w:spacing w:after="0" w:line="68" w:lineRule="exact"/>
        <w:rPr>
          <w:sz w:val="20"/>
          <w:szCs w:val="20"/>
          <w:color w:val="auto"/>
        </w:rPr>
      </w:pPr>
    </w:p>
    <w:p>
      <w:pPr>
        <w:ind w:left="1280" w:right="759"/>
        <w:spacing w:after="0" w:line="234" w:lineRule="auto"/>
        <w:rPr>
          <w:sz w:val="20"/>
          <w:szCs w:val="20"/>
          <w:color w:val="auto"/>
        </w:rPr>
      </w:pPr>
      <w:r>
        <w:rPr>
          <w:rFonts w:ascii="Arial" w:cs="Arial" w:eastAsia="Arial" w:hAnsi="Arial"/>
          <w:sz w:val="17"/>
          <w:szCs w:val="17"/>
          <w:color w:val="auto"/>
        </w:rPr>
        <w:t>On June 22, 2020, we announced that we will be added to the Russell 2000</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Index at the conclusion of the Russell U.S. Indexes annual reconstitution, effective after the U.S. market opens on June 26, 2020. Russell U.S. Indexes are widely used by investment managers and institutional investors as the basis for index funds and as benchmarks for active investment strategies.</w:t>
      </w:r>
    </w:p>
    <w:p>
      <w:pPr>
        <w:spacing w:after="0" w:line="194"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Impact of COVID-19</w:t>
      </w:r>
    </w:p>
    <w:p>
      <w:pPr>
        <w:spacing w:after="0" w:line="108" w:lineRule="exact"/>
        <w:rPr>
          <w:sz w:val="20"/>
          <w:szCs w:val="20"/>
          <w:color w:val="auto"/>
        </w:rPr>
      </w:pPr>
    </w:p>
    <w:p>
      <w:pPr>
        <w:ind w:left="1280" w:right="699"/>
        <w:spacing w:after="0" w:line="252" w:lineRule="auto"/>
        <w:rPr>
          <w:sz w:val="20"/>
          <w:szCs w:val="20"/>
          <w:color w:val="auto"/>
        </w:rPr>
      </w:pPr>
      <w:r>
        <w:rPr>
          <w:rFonts w:ascii="Arial" w:cs="Arial" w:eastAsia="Arial" w:hAnsi="Arial"/>
          <w:sz w:val="17"/>
          <w:szCs w:val="17"/>
          <w:color w:val="auto"/>
        </w:rPr>
        <w:t>Our business has been impacted by the COVID-19 pandemic. We continue to closely monitor developments related to the COVID-19 pandemic and our decisions will continue to be driven by the health and well-being of our employees, hospital and physician customers, and their patients while maintaining operations to support our customers and their patients in the near-term. These developments include:</w:t>
      </w:r>
    </w:p>
    <w:p>
      <w:pPr>
        <w:spacing w:after="0" w:line="50" w:lineRule="exact"/>
        <w:rPr>
          <w:sz w:val="20"/>
          <w:szCs w:val="20"/>
          <w:color w:val="auto"/>
        </w:rPr>
      </w:pPr>
    </w:p>
    <w:p>
      <w:pPr>
        <w:ind w:left="1860" w:right="739" w:hanging="220"/>
        <w:spacing w:after="0" w:line="271" w:lineRule="auto"/>
        <w:tabs>
          <w:tab w:leader="none" w:pos="186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Surgery Deferrals. </w:t>
      </w:r>
      <w:r>
        <w:rPr>
          <w:rFonts w:ascii="Arial" w:cs="Arial" w:eastAsia="Arial" w:hAnsi="Arial"/>
          <w:sz w:val="17"/>
          <w:szCs w:val="17"/>
          <w:color w:val="auto"/>
        </w:rPr>
        <w:t>To date, among other impacts on our business related to the pandemic,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physicians and their patients are required, or are choosing, to defer elective surgery procedures in which our products otherwise would be used. The duration of elective surgery deferrals and the timing and extent of the economic impact of the pandemic, and the pace at which the economy recovers therefrom, cannot be determined at this time. We continue to work closely with our hospital and physician customers and suppliers to navigate through this unforeseen event while maintaining flexible operations.</w:t>
      </w:r>
    </w:p>
    <w:p>
      <w:pPr>
        <w:spacing w:after="0" w:line="34" w:lineRule="exact"/>
        <w:rPr>
          <w:rFonts w:ascii="Arial" w:cs="Arial" w:eastAsia="Arial" w:hAnsi="Arial"/>
          <w:sz w:val="17"/>
          <w:szCs w:val="17"/>
          <w:color w:val="auto"/>
        </w:rPr>
      </w:pPr>
    </w:p>
    <w:p>
      <w:pPr>
        <w:ind w:left="1860" w:right="659" w:hanging="220"/>
        <w:spacing w:after="0" w:line="268" w:lineRule="auto"/>
        <w:tabs>
          <w:tab w:leader="none" w:pos="186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Operations. </w:t>
      </w:r>
      <w:r>
        <w:rPr>
          <w:rFonts w:ascii="Arial" w:cs="Arial" w:eastAsia="Arial" w:hAnsi="Arial"/>
          <w:sz w:val="17"/>
          <w:szCs w:val="17"/>
          <w:color w:val="auto"/>
        </w:rPr>
        <w:t>Our sales, marketing and research and development efforts have continued since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outbreak of the pandemic, but steps we have taken in response to the pandemic have adversely affected our business. For example, most of our sales professionals currently are using a virtual selling program, which includes virtual sales calls with physicians, peer-to-peer discussions with key opinion leaders, physician webinars and sales professional training, instead of in-person sales and marketing programs. We expect to continue to adapt our sales and marketing plans as we better understand the effects of the COVID-19 pandemic on our business. As Aroa is located and headquartered in Auckland, New Zealand, where COVID-19 mitigation efforts have been effective, our manufacturing, distribution and supply chain has largely been uninterrupted. However, it could be disrupted in the future as a result of the pandemic because of staffing shortages, production slowdowns, stoppages, or disruptions in delivery systems.</w:t>
      </w:r>
    </w:p>
    <w:p>
      <w:pPr>
        <w:spacing w:after="0" w:line="42" w:lineRule="exact"/>
        <w:rPr>
          <w:rFonts w:ascii="Arial" w:cs="Arial" w:eastAsia="Arial" w:hAnsi="Arial"/>
          <w:sz w:val="17"/>
          <w:szCs w:val="17"/>
          <w:color w:val="auto"/>
        </w:rPr>
      </w:pPr>
    </w:p>
    <w:p>
      <w:pPr>
        <w:ind w:left="1860" w:right="679" w:hanging="220"/>
        <w:spacing w:after="0" w:line="271" w:lineRule="auto"/>
        <w:tabs>
          <w:tab w:leader="none" w:pos="186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Cost Containment. </w:t>
      </w:r>
      <w:r>
        <w:rPr>
          <w:rFonts w:ascii="Arial" w:cs="Arial" w:eastAsia="Arial" w:hAnsi="Arial"/>
          <w:sz w:val="17"/>
          <w:szCs w:val="17"/>
          <w:color w:val="auto"/>
        </w:rPr>
        <w:t>We continue to carefully manage expenses and cash spend to preserve liquidity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we initiated actions in April 2020 to generate savings in areas such as travel, events, and consulting. In addition, we implemented base salary reductions (effective at least through July 15, 2020) for each of our senior executives and employees. We have also implemented a hiring freeze and have suspended our matching contributions to all participants under our 401(k) Retirement Plan. We remain focused on managing the business for the long-term, including preserving full time jobs to support the expected rebound in surgical procedure volumes.</w:t>
      </w:r>
    </w:p>
    <w:p>
      <w:pPr>
        <w:spacing w:after="0" w:line="47" w:lineRule="exact"/>
        <w:rPr>
          <w:rFonts w:ascii="Arial" w:cs="Arial" w:eastAsia="Arial" w:hAnsi="Arial"/>
          <w:sz w:val="17"/>
          <w:szCs w:val="17"/>
          <w:color w:val="auto"/>
        </w:rPr>
      </w:pPr>
    </w:p>
    <w:p>
      <w:pPr>
        <w:ind w:left="1860" w:right="899" w:hanging="220"/>
        <w:spacing w:after="0" w:line="283" w:lineRule="auto"/>
        <w:tabs>
          <w:tab w:leader="none" w:pos="186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Product Development. </w:t>
      </w:r>
      <w:r>
        <w:rPr>
          <w:rFonts w:ascii="Arial" w:cs="Arial" w:eastAsia="Arial" w:hAnsi="Arial"/>
          <w:sz w:val="17"/>
          <w:szCs w:val="17"/>
          <w:color w:val="auto"/>
        </w:rPr>
        <w:t>We continue to evaluate the timing and scope of planned next generation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development and commercialization initiatives and we plan to continue to prioritize and invest in our critical research and development and clinical programs.</w:t>
      </w:r>
    </w:p>
    <w:p>
      <w:pPr>
        <w:spacing w:after="0" w:line="159"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Preliminary Financial Results</w:t>
      </w:r>
    </w:p>
    <w:p>
      <w:pPr>
        <w:spacing w:after="0" w:line="108" w:lineRule="exact"/>
        <w:rPr>
          <w:sz w:val="20"/>
          <w:szCs w:val="20"/>
          <w:color w:val="auto"/>
        </w:rPr>
      </w:pPr>
    </w:p>
    <w:p>
      <w:pPr>
        <w:ind w:left="1280" w:right="739"/>
        <w:spacing w:after="0" w:line="268" w:lineRule="auto"/>
        <w:rPr>
          <w:sz w:val="20"/>
          <w:szCs w:val="20"/>
          <w:color w:val="auto"/>
        </w:rPr>
      </w:pPr>
      <w:r>
        <w:rPr>
          <w:rFonts w:ascii="Arial" w:cs="Arial" w:eastAsia="Arial" w:hAnsi="Arial"/>
          <w:sz w:val="17"/>
          <w:szCs w:val="17"/>
          <w:color w:val="auto"/>
        </w:rPr>
        <w:t>As described above, the COVID-19 pandemic has had, and is expected to continue to have, an adverse effect on our business, results of operations, cash flows and financial condition. We began to see an adverse impact on surgical procedures using our OviTex products in the second half of March 2020 as state mandates required hospitals to defer or cancel elective procedures and some patients elected to postpone surgery. Our</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8002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280" w:right="1259"/>
        <w:spacing w:after="0" w:line="254" w:lineRule="auto"/>
        <w:rPr>
          <w:sz w:val="20"/>
          <w:szCs w:val="20"/>
          <w:color w:val="auto"/>
        </w:rPr>
      </w:pPr>
      <w:r>
        <w:rPr>
          <w:rFonts w:ascii="Arial" w:cs="Arial" w:eastAsia="Arial" w:hAnsi="Arial"/>
          <w:sz w:val="17"/>
          <w:szCs w:val="17"/>
          <w:color w:val="auto"/>
        </w:rPr>
        <w:t>revenues were affected by a decrease in the number of daily procedures using our products and our average daily sales, at their lowest point in the first half of April 2020, were more than 70% below our average daily sales prior to the beginning of the COVID-19 pandemic.</w:t>
      </w:r>
    </w:p>
    <w:p>
      <w:pPr>
        <w:spacing w:after="0" w:line="122" w:lineRule="exact"/>
        <w:rPr>
          <w:sz w:val="20"/>
          <w:szCs w:val="20"/>
          <w:color w:val="auto"/>
        </w:rPr>
      </w:pPr>
    </w:p>
    <w:p>
      <w:pPr>
        <w:ind w:left="1280" w:right="879"/>
        <w:spacing w:after="0" w:line="251" w:lineRule="auto"/>
        <w:rPr>
          <w:sz w:val="20"/>
          <w:szCs w:val="20"/>
          <w:color w:val="auto"/>
        </w:rPr>
      </w:pPr>
      <w:r>
        <w:rPr>
          <w:rFonts w:ascii="Arial" w:cs="Arial" w:eastAsia="Arial" w:hAnsi="Arial"/>
          <w:sz w:val="17"/>
          <w:szCs w:val="17"/>
          <w:color w:val="auto"/>
        </w:rPr>
        <w:t>Since mid-April 2020, the number of procedures using our products and our corresponding sales have increased in a gradual, non-linear fashion. The timing, extent and continuation of any further increase in procedures, and any corresponding increase in sales of our products, and whether there could be a future decrease in the current level of procedures, remain uncertain and are subject to a variety of factors, including:</w:t>
      </w:r>
    </w:p>
    <w:p>
      <w:pPr>
        <w:spacing w:after="0" w:line="85" w:lineRule="exact"/>
        <w:rPr>
          <w:sz w:val="20"/>
          <w:szCs w:val="20"/>
          <w:color w:val="auto"/>
        </w:rPr>
      </w:pPr>
    </w:p>
    <w:p>
      <w:pPr>
        <w:ind w:left="1860" w:right="1059" w:hanging="220"/>
        <w:spacing w:after="0" w:line="276" w:lineRule="auto"/>
        <w:tabs>
          <w:tab w:leader="none" w:pos="18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Government restrictions on elective procedures may change over time and may vary in different geographic locations due to localized increases or decreases of COVID-19 cases.</w:t>
      </w:r>
    </w:p>
    <w:p>
      <w:pPr>
        <w:spacing w:after="0" w:line="49" w:lineRule="exact"/>
        <w:rPr>
          <w:rFonts w:ascii="Arial" w:cs="Arial" w:eastAsia="Arial" w:hAnsi="Arial"/>
          <w:sz w:val="17"/>
          <w:szCs w:val="17"/>
          <w:color w:val="auto"/>
        </w:rPr>
      </w:pPr>
    </w:p>
    <w:p>
      <w:pPr>
        <w:ind w:left="1860" w:right="959" w:hanging="220"/>
        <w:spacing w:after="0" w:line="276" w:lineRule="auto"/>
        <w:tabs>
          <w:tab w:leader="none" w:pos="18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material increase in COVID-19 cases in one or more locations could result in an increase in hospitalizations and a corresponding decrease in elective procedures in such impacted locations.</w:t>
      </w:r>
    </w:p>
    <w:p>
      <w:pPr>
        <w:spacing w:after="0" w:line="49" w:lineRule="exact"/>
        <w:rPr>
          <w:rFonts w:ascii="Arial" w:cs="Arial" w:eastAsia="Arial" w:hAnsi="Arial"/>
          <w:sz w:val="17"/>
          <w:szCs w:val="17"/>
          <w:color w:val="auto"/>
        </w:rPr>
      </w:pPr>
    </w:p>
    <w:p>
      <w:pPr>
        <w:ind w:left="1860" w:right="859" w:hanging="220"/>
        <w:spacing w:after="0" w:line="270" w:lineRule="auto"/>
        <w:tabs>
          <w:tab w:leader="none" w:pos="18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Patients may elect to defer or avoid treatment for elective procedures due to concerns about being exposed to COVID-19, loss of employer-sponsored health insurance related to the high levels of unemployment in the United States or other reasons.</w:t>
      </w:r>
    </w:p>
    <w:p>
      <w:pPr>
        <w:spacing w:after="0" w:line="55" w:lineRule="exact"/>
        <w:rPr>
          <w:rFonts w:ascii="Arial" w:cs="Arial" w:eastAsia="Arial" w:hAnsi="Arial"/>
          <w:sz w:val="17"/>
          <w:szCs w:val="17"/>
          <w:color w:val="auto"/>
        </w:rPr>
      </w:pPr>
    </w:p>
    <w:p>
      <w:pPr>
        <w:ind w:left="1860" w:right="1159" w:hanging="220"/>
        <w:spacing w:after="0" w:line="270" w:lineRule="auto"/>
        <w:tabs>
          <w:tab w:leader="none" w:pos="18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Hospitals may reserve increased space, personal protective equipment and staff for potential COVID-19 patients, especially if the number of COVID-19 cases spikes, limiting the space and resources allocated to inpatient and outpatient elective procedures.</w:t>
      </w:r>
    </w:p>
    <w:p>
      <w:pPr>
        <w:spacing w:after="0" w:line="55" w:lineRule="exact"/>
        <w:rPr>
          <w:rFonts w:ascii="Arial" w:cs="Arial" w:eastAsia="Arial" w:hAnsi="Arial"/>
          <w:sz w:val="17"/>
          <w:szCs w:val="17"/>
          <w:color w:val="auto"/>
        </w:rPr>
      </w:pPr>
    </w:p>
    <w:p>
      <w:pPr>
        <w:ind w:left="1860" w:right="779" w:hanging="220"/>
        <w:spacing w:after="0" w:line="276" w:lineRule="auto"/>
        <w:tabs>
          <w:tab w:leader="none" w:pos="18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Hospitals may continue to preserve cash and may not immediately replenish their inventories of our products, which would impact our future sales and revenue.</w:t>
      </w:r>
    </w:p>
    <w:p>
      <w:pPr>
        <w:spacing w:after="0" w:line="104" w:lineRule="exact"/>
        <w:rPr>
          <w:sz w:val="20"/>
          <w:szCs w:val="20"/>
          <w:color w:val="auto"/>
        </w:rPr>
      </w:pPr>
    </w:p>
    <w:p>
      <w:pPr>
        <w:ind w:left="1280" w:right="819"/>
        <w:spacing w:after="0" w:line="254" w:lineRule="auto"/>
        <w:rPr>
          <w:sz w:val="20"/>
          <w:szCs w:val="20"/>
          <w:color w:val="auto"/>
        </w:rPr>
      </w:pPr>
      <w:r>
        <w:rPr>
          <w:rFonts w:ascii="Arial" w:cs="Arial" w:eastAsia="Arial" w:hAnsi="Arial"/>
          <w:sz w:val="17"/>
          <w:szCs w:val="17"/>
          <w:color w:val="auto"/>
        </w:rPr>
        <w:t>While we continue to monitor the situation created by the COVID-19 pandemic, we cannot predict with certainty the extent to which the COVID-19 pandemic will impact our business and results of operations for the full second quarter of 2020 and beyond.</w:t>
      </w:r>
    </w:p>
    <w:p>
      <w:pPr>
        <w:spacing w:after="0" w:line="13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following are our preliminary estimates for the period beginning April 1, 2020 and ended June 15, 2020:</w:t>
      </w:r>
    </w:p>
    <w:p>
      <w:pPr>
        <w:spacing w:after="0" w:line="88" w:lineRule="exact"/>
        <w:rPr>
          <w:sz w:val="20"/>
          <w:szCs w:val="20"/>
          <w:color w:val="auto"/>
        </w:rPr>
      </w:pPr>
    </w:p>
    <w:p>
      <w:pPr>
        <w:ind w:left="1860" w:right="1099" w:hanging="220"/>
        <w:spacing w:after="0" w:line="270" w:lineRule="auto"/>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Revenue is expected to be between $2.1 million and $2.3 million. Revenue reflects the adverse impact of decreased procedure volumes as a result of the deferral of elective procedures and corresponding reduced sales of units of our OviTex products during the period.</w:t>
      </w:r>
    </w:p>
    <w:p>
      <w:pPr>
        <w:spacing w:after="0" w:line="55" w:lineRule="exact"/>
        <w:rPr>
          <w:rFonts w:ascii="Arial" w:cs="Arial" w:eastAsia="Arial" w:hAnsi="Arial"/>
          <w:sz w:val="17"/>
          <w:szCs w:val="17"/>
          <w:color w:val="auto"/>
        </w:rPr>
      </w:pPr>
    </w:p>
    <w:p>
      <w:pPr>
        <w:ind w:left="1860" w:right="679" w:hanging="220"/>
        <w:spacing w:after="0" w:line="267" w:lineRule="auto"/>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Gross margin is expected to be between 54% and 56%. Our gross margin is calculated by dividing our gross profit by our revenues. Our gross profit is calculated by subtracting our costs of licensed products from Aroa, charges related to excess and obsolete inventory adjustments, costs related to shipping and amortization of intangible assets from our revenue. Gross margin was negatively affected by the impact of expense recognized for excess and obsolete inventory over lower revenues during the period.</w:t>
      </w:r>
    </w:p>
    <w:p>
      <w:pPr>
        <w:spacing w:after="0" w:line="58" w:lineRule="exact"/>
        <w:rPr>
          <w:rFonts w:ascii="Arial" w:cs="Arial" w:eastAsia="Arial" w:hAnsi="Arial"/>
          <w:sz w:val="17"/>
          <w:szCs w:val="17"/>
          <w:color w:val="auto"/>
        </w:rPr>
      </w:pPr>
    </w:p>
    <w:p>
      <w:pPr>
        <w:ind w:left="1860" w:right="739" w:hanging="220"/>
        <w:spacing w:after="0" w:line="267" w:lineRule="auto"/>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Operating loss is expected to be between $4.7 million and $4.9 million. Operating loss was primarily impacted by the decrease in revenue as a result of the deferral of elective procedures and corresponding reduced sales of our OviTex products during the period, and these amounts were partially offset by decreases in estimated sales and marketing expenses, general and administrative expenses and estimated research and development expenses, as we implemented the cost containment measures described above and adapted our business operations to the environment resulting from the COVID-19 pandemic.</w:t>
      </w:r>
    </w:p>
    <w:p>
      <w:pPr>
        <w:spacing w:after="0" w:line="57" w:lineRule="exact"/>
        <w:rPr>
          <w:rFonts w:ascii="Arial" w:cs="Arial" w:eastAsia="Arial" w:hAnsi="Arial"/>
          <w:sz w:val="17"/>
          <w:szCs w:val="17"/>
          <w:color w:val="auto"/>
        </w:rPr>
      </w:pPr>
    </w:p>
    <w:p>
      <w:pPr>
        <w:ind w:left="1860" w:right="759" w:hanging="220"/>
        <w:spacing w:after="0" w:line="276" w:lineRule="auto"/>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Net loss is expected to be between $5.5 million and $5.7 million. Net loss was primarily impacted by factors described above, partially offset by a decrease in interest expense.</w:t>
      </w:r>
    </w:p>
    <w:p>
      <w:pPr>
        <w:spacing w:after="0" w:line="117" w:lineRule="exact"/>
        <w:rPr>
          <w:sz w:val="20"/>
          <w:szCs w:val="20"/>
          <w:color w:val="auto"/>
        </w:rPr>
      </w:pPr>
    </w:p>
    <w:p>
      <w:pPr>
        <w:ind w:left="1280" w:right="759"/>
        <w:spacing w:after="0" w:line="254" w:lineRule="auto"/>
        <w:rPr>
          <w:sz w:val="20"/>
          <w:szCs w:val="20"/>
          <w:color w:val="auto"/>
        </w:rPr>
      </w:pPr>
      <w:r>
        <w:rPr>
          <w:rFonts w:ascii="Arial" w:cs="Arial" w:eastAsia="Arial" w:hAnsi="Arial"/>
          <w:sz w:val="17"/>
          <w:szCs w:val="17"/>
          <w:color w:val="auto"/>
        </w:rPr>
        <w:t>As of June 15, 2020, our cash, cash equivalents and short-term investments is expected to be $41.1 million and the borrowings outstanding under our credit facility were $30.0 million. This credit facility matures in November 2023 and requires that we maintain a minimum cash balance of $2.0 million.</w:t>
      </w:r>
    </w:p>
    <w:p>
      <w:pPr>
        <w:spacing w:after="0" w:line="135" w:lineRule="exact"/>
        <w:rPr>
          <w:sz w:val="20"/>
          <w:szCs w:val="20"/>
          <w:color w:val="auto"/>
        </w:rPr>
      </w:pPr>
    </w:p>
    <w:p>
      <w:pPr>
        <w:ind w:left="1280" w:right="719"/>
        <w:spacing w:after="0" w:line="250" w:lineRule="auto"/>
        <w:rPr>
          <w:sz w:val="20"/>
          <w:szCs w:val="20"/>
          <w:color w:val="auto"/>
        </w:rPr>
      </w:pPr>
      <w:r>
        <w:rPr>
          <w:rFonts w:ascii="Arial" w:cs="Arial" w:eastAsia="Arial" w:hAnsi="Arial"/>
          <w:sz w:val="17"/>
          <w:szCs w:val="17"/>
          <w:color w:val="auto"/>
        </w:rPr>
        <w:t>The above estimates of our financial performance for the period indicated should not be viewed as a substitute for interim financial statements prepared in accordance with U.S. GAAP. Preliminary estimates of our revenue, gross margin, operating loss and net loss are not necessarily indicative of the results that may be reported for the remainder of the three month period ended June 30, 2020, for fiscal year 2020 or for any future periods. Our consolidated financial statements as of and for the three months ended June 30, 2020 will not</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659"/>
        <w:spacing w:after="0" w:line="252" w:lineRule="auto"/>
        <w:rPr>
          <w:sz w:val="20"/>
          <w:szCs w:val="20"/>
          <w:color w:val="auto"/>
        </w:rPr>
      </w:pPr>
      <w:r>
        <w:rPr>
          <w:rFonts w:ascii="Arial" w:cs="Arial" w:eastAsia="Arial" w:hAnsi="Arial"/>
          <w:sz w:val="17"/>
          <w:szCs w:val="17"/>
          <w:color w:val="auto"/>
        </w:rPr>
        <w:t>be available until after this offering is completed. Furthermore, the preliminary operating data included in this prospectus has been prepared by, and is the responsibility of, our management. KPMG LLP has not audited, reviewed, compiled or applied agreed-upon procedures with respect to the preliminary operating data. Accordingly, KPMG LLP does not express an opinion or any other form of assurance with respect thereto.</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Risks Associated with Our Business</w:t>
      </w:r>
    </w:p>
    <w:p>
      <w:pPr>
        <w:spacing w:after="0" w:line="95" w:lineRule="exact"/>
        <w:rPr>
          <w:sz w:val="20"/>
          <w:szCs w:val="20"/>
          <w:color w:val="auto"/>
        </w:rPr>
      </w:pPr>
    </w:p>
    <w:p>
      <w:pPr>
        <w:ind w:left="1280" w:right="659"/>
        <w:spacing w:after="0" w:line="250" w:lineRule="auto"/>
        <w:rPr>
          <w:sz w:val="20"/>
          <w:szCs w:val="20"/>
          <w:color w:val="auto"/>
        </w:rPr>
      </w:pPr>
      <w:r>
        <w:rPr>
          <w:rFonts w:ascii="Arial" w:cs="Arial" w:eastAsia="Arial" w:hAnsi="Arial"/>
          <w:sz w:val="17"/>
          <w:szCs w:val="17"/>
          <w:color w:val="auto"/>
        </w:rPr>
        <w:t>Our business is subject to numerous risks, as more fully described in the section titled “Risk Factors” immediately following this prospectus summary and in our Annual Report on Form 10-K for the year ended December 31, 2019, which is incorporated by reference herein, as revised or supplemented by our Quarterly Report on Form 10-Q for the quarter ended March 31, 2020 or our subsequent current reports on Form 8-K that we have filed with the SEC, all of which are incorporated by reference herein. You should read these risks before you invest in our common stock. In particular, risks associated with our business include, but are not limited to, the following:</w:t>
      </w:r>
    </w:p>
    <w:p>
      <w:pPr>
        <w:spacing w:after="0" w:line="73" w:lineRule="exact"/>
        <w:rPr>
          <w:sz w:val="20"/>
          <w:szCs w:val="20"/>
          <w:color w:val="auto"/>
        </w:rPr>
      </w:pPr>
    </w:p>
    <w:p>
      <w:pPr>
        <w:ind w:left="1860" w:right="719" w:hanging="220"/>
        <w:spacing w:after="0" w:line="276" w:lineRule="auto"/>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inception, we expect to incur operating losses in the future and we may not be able to achieve or sustain profitability.</w:t>
      </w:r>
    </w:p>
    <w:p>
      <w:pPr>
        <w:spacing w:after="0" w:line="49" w:lineRule="exact"/>
        <w:rPr>
          <w:rFonts w:ascii="Arial" w:cs="Arial" w:eastAsia="Arial" w:hAnsi="Arial"/>
          <w:sz w:val="17"/>
          <w:szCs w:val="17"/>
          <w:color w:val="auto"/>
        </w:rPr>
      </w:pPr>
    </w:p>
    <w:p>
      <w:pPr>
        <w:ind w:left="1860" w:right="779" w:hanging="220"/>
        <w:spacing w:after="0" w:line="276" w:lineRule="auto"/>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date, substantially all of our revenue has been generated from sales of our OviTex products, and we therefore are highly dependent on their success.</w:t>
      </w:r>
    </w:p>
    <w:p>
      <w:pPr>
        <w:spacing w:after="0" w:line="49" w:lineRule="exact"/>
        <w:rPr>
          <w:rFonts w:ascii="Arial" w:cs="Arial" w:eastAsia="Arial" w:hAnsi="Arial"/>
          <w:sz w:val="17"/>
          <w:szCs w:val="17"/>
          <w:color w:val="auto"/>
        </w:rPr>
      </w:pPr>
    </w:p>
    <w:p>
      <w:pPr>
        <w:ind w:left="1860" w:right="1119" w:hanging="220"/>
        <w:spacing w:after="0" w:line="276" w:lineRule="auto"/>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recent outbreak of the COVID-19 has negatively impacted, and may continue to negatively impact, our commercialization strategy and the sales of OviTex and OviTex PRS.</w:t>
      </w:r>
    </w:p>
    <w:p>
      <w:pPr>
        <w:spacing w:after="0" w:line="49" w:lineRule="exact"/>
        <w:rPr>
          <w:rFonts w:ascii="Arial" w:cs="Arial" w:eastAsia="Arial" w:hAnsi="Arial"/>
          <w:sz w:val="17"/>
          <w:szCs w:val="17"/>
          <w:color w:val="auto"/>
        </w:rPr>
      </w:pPr>
    </w:p>
    <w:p>
      <w:pPr>
        <w:ind w:left="1860" w:right="1259" w:hanging="220"/>
        <w:spacing w:after="0" w:line="276" w:lineRule="auto"/>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commercial success of our products will largely depend upon attaining significant market acceptance.</w:t>
      </w:r>
    </w:p>
    <w:p>
      <w:pPr>
        <w:spacing w:after="0" w:line="49" w:lineRule="exact"/>
        <w:rPr>
          <w:rFonts w:ascii="Arial" w:cs="Arial" w:eastAsia="Arial" w:hAnsi="Arial"/>
          <w:sz w:val="17"/>
          <w:szCs w:val="17"/>
          <w:color w:val="auto"/>
        </w:rPr>
      </w:pPr>
    </w:p>
    <w:p>
      <w:pPr>
        <w:ind w:left="1860" w:hanging="220"/>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currently have limited sales and marketing capabilities.</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highly dependent upon Aroa, as the exclusive manufacturer and supplier of our products.</w:t>
      </w:r>
    </w:p>
    <w:p>
      <w:pPr>
        <w:spacing w:after="0" w:line="88" w:lineRule="exact"/>
        <w:rPr>
          <w:rFonts w:ascii="Arial" w:cs="Arial" w:eastAsia="Arial" w:hAnsi="Arial"/>
          <w:sz w:val="17"/>
          <w:szCs w:val="17"/>
          <w:color w:val="auto"/>
        </w:rPr>
      </w:pPr>
    </w:p>
    <w:p>
      <w:pPr>
        <w:ind w:left="1860" w:right="819" w:hanging="220"/>
        <w:spacing w:after="0" w:line="276" w:lineRule="auto"/>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rely on our own direct sales force for the majority of the sales of our products, which may result in higher fixed costs than our competitors and may slow our ability to reduce costs.</w:t>
      </w:r>
    </w:p>
    <w:p>
      <w:pPr>
        <w:spacing w:after="0" w:line="49" w:lineRule="exact"/>
        <w:rPr>
          <w:rFonts w:ascii="Arial" w:cs="Arial" w:eastAsia="Arial" w:hAnsi="Arial"/>
          <w:sz w:val="17"/>
          <w:szCs w:val="17"/>
          <w:color w:val="auto"/>
        </w:rPr>
      </w:pPr>
    </w:p>
    <w:p>
      <w:pPr>
        <w:ind w:left="1860" w:hanging="220"/>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be unable to compete successfully with larger competitors in our highly competitive industry.</w:t>
      </w:r>
    </w:p>
    <w:p>
      <w:pPr>
        <w:spacing w:after="0" w:line="74" w:lineRule="exact"/>
        <w:rPr>
          <w:rFonts w:ascii="Arial" w:cs="Arial" w:eastAsia="Arial" w:hAnsi="Arial"/>
          <w:sz w:val="17"/>
          <w:szCs w:val="17"/>
          <w:color w:val="auto"/>
        </w:rPr>
      </w:pPr>
    </w:p>
    <w:p>
      <w:pPr>
        <w:ind w:left="1860" w:right="1379" w:hanging="220"/>
        <w:spacing w:after="0" w:line="276" w:lineRule="auto"/>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sizes of the markets for our current and future products have not been established with precision, and may be smaller than we estimate.</w:t>
      </w:r>
    </w:p>
    <w:p>
      <w:pPr>
        <w:spacing w:after="0" w:line="49" w:lineRule="exact"/>
        <w:rPr>
          <w:rFonts w:ascii="Arial" w:cs="Arial" w:eastAsia="Arial" w:hAnsi="Arial"/>
          <w:sz w:val="17"/>
          <w:szCs w:val="17"/>
          <w:color w:val="auto"/>
        </w:rPr>
      </w:pPr>
    </w:p>
    <w:p>
      <w:pPr>
        <w:ind w:left="1860" w:hanging="220"/>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long-term growth depends on our ability to enhance our product offerings.</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success depends in part on our intellectual property portfolio.</w:t>
      </w:r>
    </w:p>
    <w:p>
      <w:pPr>
        <w:spacing w:after="0" w:line="88" w:lineRule="exact"/>
        <w:rPr>
          <w:rFonts w:ascii="Arial" w:cs="Arial" w:eastAsia="Arial" w:hAnsi="Arial"/>
          <w:sz w:val="17"/>
          <w:szCs w:val="17"/>
          <w:color w:val="auto"/>
        </w:rPr>
      </w:pPr>
    </w:p>
    <w:p>
      <w:pPr>
        <w:ind w:left="1860" w:right="919" w:hanging="220"/>
        <w:spacing w:after="0" w:line="276" w:lineRule="auto"/>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Regulatory compliance is expensive, complex and uncertain, and a failure to comply could lead to enforcement actions against us and other negative consequences for our business.</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Corporate Information</w:t>
      </w:r>
    </w:p>
    <w:p>
      <w:pPr>
        <w:spacing w:after="0" w:line="108" w:lineRule="exact"/>
        <w:rPr>
          <w:sz w:val="20"/>
          <w:szCs w:val="20"/>
          <w:color w:val="auto"/>
        </w:rPr>
      </w:pPr>
    </w:p>
    <w:p>
      <w:pPr>
        <w:ind w:left="1280" w:right="719"/>
        <w:spacing w:after="0" w:line="250" w:lineRule="auto"/>
        <w:rPr>
          <w:sz w:val="20"/>
          <w:szCs w:val="20"/>
          <w:color w:val="auto"/>
        </w:rPr>
      </w:pPr>
      <w:r>
        <w:rPr>
          <w:rFonts w:ascii="Arial" w:cs="Arial" w:eastAsia="Arial" w:hAnsi="Arial"/>
          <w:sz w:val="17"/>
          <w:szCs w:val="17"/>
          <w:color w:val="auto"/>
        </w:rPr>
        <w:t>We were incorporated on April 17, 2012. Our primary executive offices are located at 1 Great Valley Parkway, Suite 24, Malvern, Pennsylvania 19355 and our telephone number is (484) 320-2930. Our website address is www.telabio.com.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common stock.</w:t>
      </w:r>
    </w:p>
    <w:p>
      <w:pPr>
        <w:spacing w:after="0" w:line="189"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95" w:lineRule="exact"/>
        <w:rPr>
          <w:sz w:val="20"/>
          <w:szCs w:val="20"/>
          <w:color w:val="auto"/>
        </w:rPr>
      </w:pPr>
    </w:p>
    <w:p>
      <w:pPr>
        <w:ind w:left="1280" w:right="679"/>
        <w:spacing w:after="0" w:line="250" w:lineRule="auto"/>
        <w:rPr>
          <w:sz w:val="20"/>
          <w:szCs w:val="20"/>
          <w:color w:val="auto"/>
        </w:rPr>
      </w:pPr>
      <w:r>
        <w:rPr>
          <w:rFonts w:ascii="Arial" w:cs="Arial" w:eastAsia="Arial" w:hAnsi="Arial"/>
          <w:sz w:val="17"/>
          <w:szCs w:val="17"/>
          <w:color w:val="auto"/>
        </w:rPr>
        <w:t>We are an “emerging growth company,” as defined in the Jumpstart Our Business Startups Act of 2012. We will remain an emerging growth company until the earliest to occur of: the last day of the fiscal year in which we have more than $1.07 billion in annual revenue; the date we qualify as a “large accelerated filer,” with at least $700.0 million of equity securities held by non-affiliates; the issuance, in any three-year period, by us of more than $1.0 billion in non-convertible debt securities; and December 31, 2024, the last day of the fiscal year ending after the fifth anniversary of our initial public offering. We refer to the Jumpstart Our Business Startups Act of 2012 herein as the “JOBS Act,” and any reference herein to “emerging growth company” has the meaning ascribed to it in the JOBS Act.</w:t>
      </w:r>
    </w:p>
    <w:p>
      <w:pPr>
        <w:spacing w:after="0" w:line="140" w:lineRule="exact"/>
        <w:rPr>
          <w:sz w:val="20"/>
          <w:szCs w:val="20"/>
          <w:color w:val="auto"/>
        </w:rPr>
      </w:pPr>
    </w:p>
    <w:p>
      <w:pPr>
        <w:ind w:left="1280" w:right="979"/>
        <w:spacing w:after="0" w:line="259" w:lineRule="auto"/>
        <w:rPr>
          <w:sz w:val="20"/>
          <w:szCs w:val="20"/>
          <w:color w:val="auto"/>
        </w:rPr>
      </w:pPr>
      <w:r>
        <w:rPr>
          <w:rFonts w:ascii="Arial" w:cs="Arial" w:eastAsia="Arial" w:hAnsi="Arial"/>
          <w:sz w:val="17"/>
          <w:szCs w:val="17"/>
          <w:color w:val="auto"/>
        </w:rPr>
        <w:t>An emerging growth company may take advantage of reduced reporting requirements that are otherwise applicable to public companies. These provisions include, but are not limited to:</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60" w:right="1419" w:hanging="220"/>
        <w:spacing w:after="0" w:line="276" w:lineRule="auto"/>
        <w:tabs>
          <w:tab w:leader="none" w:pos="1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of 2002, as amended;</w:t>
      </w:r>
    </w:p>
    <w:p>
      <w:pPr>
        <w:spacing w:after="0" w:line="49" w:lineRule="exact"/>
        <w:rPr>
          <w:rFonts w:ascii="Arial" w:cs="Arial" w:eastAsia="Arial" w:hAnsi="Arial"/>
          <w:sz w:val="17"/>
          <w:szCs w:val="17"/>
          <w:color w:val="auto"/>
        </w:rPr>
      </w:pPr>
    </w:p>
    <w:p>
      <w:pPr>
        <w:ind w:left="1860" w:right="1119" w:hanging="220"/>
        <w:spacing w:after="0" w:line="276" w:lineRule="auto"/>
        <w:tabs>
          <w:tab w:leader="none" w:pos="1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49" w:lineRule="exact"/>
        <w:rPr>
          <w:rFonts w:ascii="Arial" w:cs="Arial" w:eastAsia="Arial" w:hAnsi="Arial"/>
          <w:sz w:val="17"/>
          <w:szCs w:val="17"/>
          <w:color w:val="auto"/>
        </w:rPr>
      </w:pPr>
    </w:p>
    <w:p>
      <w:pPr>
        <w:ind w:left="1860" w:right="699" w:hanging="220"/>
        <w:spacing w:after="0" w:line="276" w:lineRule="auto"/>
        <w:tabs>
          <w:tab w:leader="none" w:pos="1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31" w:lineRule="exact"/>
        <w:rPr>
          <w:sz w:val="20"/>
          <w:szCs w:val="20"/>
          <w:color w:val="auto"/>
        </w:rPr>
      </w:pPr>
    </w:p>
    <w:p>
      <w:pPr>
        <w:ind w:left="1280" w:right="799"/>
        <w:spacing w:after="0" w:line="267" w:lineRule="auto"/>
        <w:rPr>
          <w:sz w:val="20"/>
          <w:szCs w:val="20"/>
          <w:color w:val="auto"/>
        </w:rPr>
      </w:pPr>
      <w:r>
        <w:rPr>
          <w:rFonts w:ascii="Arial" w:cs="Arial" w:eastAsia="Arial" w:hAnsi="Arial"/>
          <w:sz w:val="17"/>
          <w:szCs w:val="17"/>
          <w:color w:val="auto"/>
        </w:rPr>
        <w:t>We have elected to take advantage of certain of the reduced disclosure obligations in this prospectus and our other filings with the U.S. Securities and Exchange Commission, or the SEC. The JOBS Act provides that an emerging growth company can take advantage of an extended transition period for complying with new or revised accounting standards. We have elected to avail ourselves of this exemption. As a result of these elections the information that we provide to our stockholders may be different than you might receive from other public reporting companies in which you hold equity interests.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8010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40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139"/>
          </w:cols>
          <w:pgMar w:left="320" w:top="132" w:right="1440" w:bottom="1440" w:gutter="0" w:footer="0" w:header="0"/>
        </w:sectPr>
      </w:pPr>
    </w:p>
    <w:p>
      <w:pPr>
        <w:spacing w:after="0" w:line="35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Common stock offered by us</w:t>
      </w:r>
    </w:p>
    <w:p>
      <w:pPr>
        <w:spacing w:after="0" w:line="345" w:lineRule="exact"/>
        <w:rPr>
          <w:sz w:val="20"/>
          <w:szCs w:val="20"/>
          <w:color w:val="auto"/>
        </w:rPr>
      </w:pPr>
    </w:p>
    <w:p>
      <w:pPr>
        <w:ind w:left="1460" w:right="280" w:hanging="179"/>
        <w:spacing w:after="0" w:line="259" w:lineRule="auto"/>
        <w:rPr>
          <w:sz w:val="20"/>
          <w:szCs w:val="20"/>
          <w:color w:val="auto"/>
        </w:rPr>
      </w:pPr>
      <w:r>
        <w:rPr>
          <w:rFonts w:ascii="Arial" w:cs="Arial" w:eastAsia="Arial" w:hAnsi="Arial"/>
          <w:sz w:val="17"/>
          <w:szCs w:val="17"/>
          <w:color w:val="auto"/>
        </w:rPr>
        <w:t>Common stock to be outstanding immediately after this offering</w:t>
      </w:r>
    </w:p>
    <w:p>
      <w:pPr>
        <w:spacing w:after="0" w:line="200" w:lineRule="exact"/>
        <w:rPr>
          <w:sz w:val="20"/>
          <w:szCs w:val="20"/>
          <w:color w:val="auto"/>
        </w:rPr>
      </w:pPr>
    </w:p>
    <w:p>
      <w:pPr>
        <w:spacing w:after="0" w:line="337" w:lineRule="exact"/>
        <w:rPr>
          <w:sz w:val="20"/>
          <w:szCs w:val="20"/>
          <w:color w:val="auto"/>
        </w:rPr>
      </w:pPr>
    </w:p>
    <w:p>
      <w:pPr>
        <w:ind w:left="1460" w:hanging="179"/>
        <w:spacing w:after="0" w:line="243" w:lineRule="auto"/>
        <w:rPr>
          <w:sz w:val="20"/>
          <w:szCs w:val="20"/>
          <w:color w:val="auto"/>
        </w:rPr>
      </w:pPr>
      <w:r>
        <w:rPr>
          <w:rFonts w:ascii="Arial" w:cs="Arial" w:eastAsia="Arial" w:hAnsi="Arial"/>
          <w:sz w:val="17"/>
          <w:szCs w:val="17"/>
          <w:color w:val="auto"/>
        </w:rPr>
        <w:t>Option to purchase additional shares offered by us</w:t>
      </w:r>
    </w:p>
    <w:p>
      <w:pPr>
        <w:spacing w:after="0" w:line="30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3,000,000 shares</w:t>
      </w:r>
    </w:p>
    <w:p>
      <w:pPr>
        <w:spacing w:after="0" w:line="200" w:lineRule="exact"/>
        <w:rPr>
          <w:sz w:val="20"/>
          <w:szCs w:val="20"/>
          <w:color w:val="auto"/>
        </w:rPr>
      </w:pPr>
    </w:p>
    <w:p>
      <w:pPr>
        <w:spacing w:after="0" w:line="347" w:lineRule="exact"/>
        <w:rPr>
          <w:sz w:val="20"/>
          <w:szCs w:val="20"/>
          <w:color w:val="auto"/>
        </w:rPr>
      </w:pPr>
    </w:p>
    <w:p>
      <w:pPr>
        <w:ind w:right="1079"/>
        <w:spacing w:after="0" w:line="276" w:lineRule="auto"/>
        <w:rPr>
          <w:sz w:val="20"/>
          <w:szCs w:val="20"/>
          <w:color w:val="auto"/>
        </w:rPr>
      </w:pPr>
      <w:r>
        <w:rPr>
          <w:rFonts w:ascii="Arial" w:cs="Arial" w:eastAsia="Arial" w:hAnsi="Arial"/>
          <w:sz w:val="17"/>
          <w:szCs w:val="17"/>
          <w:color w:val="auto"/>
        </w:rPr>
        <w:t>14,407,600 shares (or 14,857,600 shares if the underwriters exercise their option to purchase additional shares in full)</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450,000 shares</w:t>
      </w:r>
    </w:p>
    <w:p>
      <w:pPr>
        <w:spacing w:after="0" w:line="345" w:lineRule="exact"/>
        <w:rPr>
          <w:sz w:val="20"/>
          <w:szCs w:val="20"/>
          <w:color w:val="auto"/>
        </w:rPr>
      </w:pPr>
    </w:p>
    <w:p>
      <w:pPr>
        <w:ind w:right="759"/>
        <w:spacing w:after="0" w:line="266" w:lineRule="auto"/>
        <w:rPr>
          <w:sz w:val="20"/>
          <w:szCs w:val="20"/>
          <w:color w:val="auto"/>
        </w:rPr>
      </w:pPr>
      <w:r>
        <w:rPr>
          <w:rFonts w:ascii="Arial" w:cs="Arial" w:eastAsia="Arial" w:hAnsi="Arial"/>
          <w:sz w:val="17"/>
          <w:szCs w:val="17"/>
          <w:color w:val="auto"/>
        </w:rPr>
        <w:t>We estimate that the net proceeds from this offering will be approximately $58.5 million (or approximately $67.3 million if the underwriters exercise in full their option to purchase up to 450,000 additional shares of common stock), based on an assumed public offering price of $20.90 per share, which is the last reported trading price of our common stock on the Nasdaq Global Market on June 22, 2020, after deducting the estimated underwriting discounts and commissions and estimated offering expenses payable by us.</w:t>
      </w:r>
    </w:p>
    <w:p>
      <w:pPr>
        <w:spacing w:after="0" w:line="143" w:lineRule="exact"/>
        <w:rPr>
          <w:sz w:val="20"/>
          <w:szCs w:val="20"/>
          <w:color w:val="auto"/>
        </w:rPr>
      </w:pPr>
    </w:p>
    <w:p>
      <w:pPr>
        <w:ind w:right="659"/>
        <w:spacing w:after="0" w:line="266" w:lineRule="auto"/>
        <w:rPr>
          <w:sz w:val="20"/>
          <w:szCs w:val="20"/>
          <w:color w:val="auto"/>
        </w:rPr>
      </w:pPr>
      <w:r>
        <w:rPr>
          <w:rFonts w:ascii="Arial" w:cs="Arial" w:eastAsia="Arial" w:hAnsi="Arial"/>
          <w:sz w:val="17"/>
          <w:szCs w:val="17"/>
          <w:color w:val="auto"/>
        </w:rPr>
        <w:t>We currently intend to use the net proceeds from this offering, together with our existing cash, cash equivalents and short-term investments, to hire additional sales and marketing personnel and expand marketing activities to support the ongoing commercialization of our OviTex and OviTex PRS product lines, to fund product development and research and development activities, which may include post-market clinical studies and IDE protocol development for our OviTex PRS products, and the remainder for working capital and general corporate purposes.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See “Use of Proceeds” for additional information.</w:t>
      </w:r>
    </w:p>
    <w:p>
      <w:pPr>
        <w:spacing w:after="0" w:line="345" w:lineRule="exact"/>
        <w:rPr>
          <w:sz w:val="20"/>
          <w:szCs w:val="20"/>
          <w:color w:val="auto"/>
        </w:rPr>
      </w:pPr>
    </w:p>
    <w:p>
      <w:pPr>
        <w:ind w:right="719"/>
        <w:spacing w:after="0" w:line="268" w:lineRule="auto"/>
        <w:rPr>
          <w:sz w:val="20"/>
          <w:szCs w:val="20"/>
          <w:color w:val="auto"/>
        </w:rPr>
      </w:pPr>
      <w:r>
        <w:rPr>
          <w:rFonts w:ascii="Arial" w:cs="Arial" w:eastAsia="Arial" w:hAnsi="Arial"/>
          <w:sz w:val="17"/>
          <w:szCs w:val="17"/>
          <w:color w:val="auto"/>
        </w:rPr>
        <w:t>You should carefully read the “Risk Factors” section of this prospectus and under similar headings in documents incorporated by reference into this prospectus for a discussion of factors that you should consider before deciding to invest in our common stock.</w:t>
      </w:r>
    </w:p>
    <w:p>
      <w:pPr>
        <w:spacing w:after="0" w:line="200" w:lineRule="exact"/>
        <w:rPr>
          <w:sz w:val="20"/>
          <w:szCs w:val="20"/>
          <w:color w:val="auto"/>
        </w:rPr>
      </w:pPr>
    </w:p>
    <w:p>
      <w:pPr>
        <w:sectPr>
          <w:pgSz w:w="11900" w:h="16838" w:orient="portrait"/>
          <w:cols w:equalWidth="0" w:num="2">
            <w:col w:w="4060" w:space="460"/>
            <w:col w:w="5619"/>
          </w:cols>
          <w:pgMar w:left="320" w:top="132" w:right="1440" w:bottom="1440" w:gutter="0" w:footer="0" w:header="0"/>
          <w:type w:val="continuous"/>
        </w:sectPr>
      </w:pPr>
    </w:p>
    <w:p>
      <w:pPr>
        <w:spacing w:after="0" w:line="99" w:lineRule="exact"/>
        <w:rPr>
          <w:sz w:val="20"/>
          <w:szCs w:val="20"/>
          <w:color w:val="auto"/>
        </w:rPr>
      </w:pPr>
    </w:p>
    <w:p>
      <w:pPr>
        <w:ind w:left="1280"/>
        <w:spacing w:after="0"/>
        <w:tabs>
          <w:tab w:leader="none" w:pos="4500" w:val="left"/>
        </w:tabs>
        <w:rPr>
          <w:sz w:val="20"/>
          <w:szCs w:val="20"/>
          <w:color w:val="auto"/>
        </w:rPr>
      </w:pPr>
      <w:r>
        <w:rPr>
          <w:rFonts w:ascii="Arial" w:cs="Arial" w:eastAsia="Arial" w:hAnsi="Arial"/>
          <w:sz w:val="17"/>
          <w:szCs w:val="17"/>
          <w:color w:val="auto"/>
        </w:rPr>
        <w:t>Nasdaq Global Market symbol</w:t>
      </w:r>
      <w:r>
        <w:rPr>
          <w:sz w:val="20"/>
          <w:szCs w:val="20"/>
          <w:color w:val="auto"/>
        </w:rPr>
        <w:tab/>
      </w:r>
      <w:r>
        <w:rPr>
          <w:rFonts w:ascii="Arial" w:cs="Arial" w:eastAsia="Arial" w:hAnsi="Arial"/>
          <w:sz w:val="17"/>
          <w:szCs w:val="17"/>
          <w:color w:val="auto"/>
        </w:rPr>
        <w:t>“TELA”</w:t>
      </w:r>
    </w:p>
    <w:p>
      <w:pPr>
        <w:spacing w:after="0" w:line="358" w:lineRule="exact"/>
        <w:rPr>
          <w:sz w:val="20"/>
          <w:szCs w:val="20"/>
          <w:color w:val="auto"/>
        </w:rPr>
      </w:pPr>
    </w:p>
    <w:p>
      <w:pPr>
        <w:ind w:left="1280" w:right="999"/>
        <w:spacing w:after="0" w:line="276" w:lineRule="auto"/>
        <w:rPr>
          <w:sz w:val="20"/>
          <w:szCs w:val="20"/>
          <w:color w:val="auto"/>
        </w:rPr>
      </w:pPr>
      <w:r>
        <w:rPr>
          <w:rFonts w:ascii="Arial" w:cs="Arial" w:eastAsia="Arial" w:hAnsi="Arial"/>
          <w:sz w:val="17"/>
          <w:szCs w:val="17"/>
          <w:color w:val="auto"/>
        </w:rPr>
        <w:t>The number of shares of our common stock to be outstanding immediately after this offering is based on 11,407,600 shares of common stock outstanding as of March 31, 2020, and excludes:</w:t>
      </w:r>
    </w:p>
    <w:p>
      <w:pPr>
        <w:spacing w:after="0" w:line="50" w:lineRule="exact"/>
        <w:rPr>
          <w:sz w:val="20"/>
          <w:szCs w:val="20"/>
          <w:color w:val="auto"/>
        </w:rPr>
      </w:pPr>
    </w:p>
    <w:p>
      <w:pPr>
        <w:ind w:left="1860" w:right="679" w:hanging="220"/>
        <w:spacing w:after="0" w:line="276" w:lineRule="auto"/>
        <w:tabs>
          <w:tab w:leader="none" w:pos="1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1,482,421 shares of our common stock issuable upon the exercise of stock options outstanding as of March 31, 2020, at a weighted-average exercise price of $10.61 per share;</w:t>
      </w:r>
    </w:p>
    <w:p>
      <w:pPr>
        <w:spacing w:after="0" w:line="49" w:lineRule="exact"/>
        <w:rPr>
          <w:rFonts w:ascii="Arial" w:cs="Arial" w:eastAsia="Arial" w:hAnsi="Arial"/>
          <w:sz w:val="17"/>
          <w:szCs w:val="17"/>
          <w:color w:val="auto"/>
        </w:rPr>
      </w:pPr>
    </w:p>
    <w:p>
      <w:pPr>
        <w:ind w:left="1860" w:right="1079" w:hanging="220"/>
        <w:spacing w:after="0" w:line="276" w:lineRule="auto"/>
        <w:tabs>
          <w:tab w:leader="none" w:pos="1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398 shares of our unvested common stock that are subject to repurchase by us as of March 31, 2020;</w:t>
      </w:r>
    </w:p>
    <w:p>
      <w:pPr>
        <w:spacing w:after="0" w:line="63" w:lineRule="exact"/>
        <w:rPr>
          <w:rFonts w:ascii="Arial" w:cs="Arial" w:eastAsia="Arial" w:hAnsi="Arial"/>
          <w:sz w:val="17"/>
          <w:szCs w:val="17"/>
          <w:color w:val="auto"/>
        </w:rPr>
      </w:pPr>
    </w:p>
    <w:p>
      <w:pPr>
        <w:ind w:left="1860" w:right="1259" w:hanging="220"/>
        <w:spacing w:after="0" w:line="276" w:lineRule="auto"/>
        <w:tabs>
          <w:tab w:leader="none" w:pos="1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88,556 shares of our common stock issuable upon the exercise of warrants outstanding as of March 31, 2020, at an exercise price of $28.65 per share;</w:t>
      </w:r>
    </w:p>
    <w:p>
      <w:pPr>
        <w:spacing w:after="0" w:line="49" w:lineRule="exact"/>
        <w:rPr>
          <w:rFonts w:ascii="Arial" w:cs="Arial" w:eastAsia="Arial" w:hAnsi="Arial"/>
          <w:sz w:val="17"/>
          <w:szCs w:val="17"/>
          <w:color w:val="auto"/>
        </w:rPr>
      </w:pPr>
    </w:p>
    <w:p>
      <w:pPr>
        <w:ind w:left="1860" w:right="779" w:hanging="220"/>
        <w:spacing w:after="0" w:line="270" w:lineRule="auto"/>
        <w:tabs>
          <w:tab w:leader="none" w:pos="1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259,065 shares of our common stock reserved for future issuance under our 2019 Equity Incentive Plan, or the 2019 Plan, as of March 31, 2020 (which does not include the 555,343 additional shares reserved for future issuance pursuant to the amendment and restatement of the 2019 Plan adopted</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60" w:right="719"/>
        <w:spacing w:after="0" w:line="276" w:lineRule="auto"/>
        <w:rPr>
          <w:sz w:val="20"/>
          <w:szCs w:val="20"/>
          <w:color w:val="auto"/>
        </w:rPr>
      </w:pPr>
      <w:r>
        <w:rPr>
          <w:rFonts w:ascii="Arial" w:cs="Arial" w:eastAsia="Arial" w:hAnsi="Arial"/>
          <w:sz w:val="17"/>
          <w:szCs w:val="17"/>
          <w:color w:val="auto"/>
        </w:rPr>
        <w:t>on June 4, 2020, or any annual increases in the number of shares of our common stock reserved for future issuance pursuant to the 2019 Plan); and</w:t>
      </w:r>
    </w:p>
    <w:p>
      <w:pPr>
        <w:spacing w:after="0" w:line="50" w:lineRule="exact"/>
        <w:rPr>
          <w:sz w:val="20"/>
          <w:szCs w:val="20"/>
          <w:color w:val="auto"/>
        </w:rPr>
      </w:pPr>
    </w:p>
    <w:p>
      <w:pPr>
        <w:ind w:left="1860" w:right="819" w:hanging="220"/>
        <w:spacing w:after="0" w:line="270" w:lineRule="auto"/>
        <w:tabs>
          <w:tab w:leader="none" w:pos="1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107,887 shares of our common stock reserved for future issuance under our 2019 Employee Stock Purchase Plan, or the ESPP, as well as any annual increases in the number of shares of our common stock reserved for future issuance pursuant to the ESPP.</w:t>
      </w:r>
    </w:p>
    <w:p>
      <w:pPr>
        <w:spacing w:after="0" w:line="13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Unless otherwise indicated, all information contained in this prospectus assumes or gives effect to:</w:t>
      </w:r>
    </w:p>
    <w:p>
      <w:pPr>
        <w:spacing w:after="0" w:line="88" w:lineRule="exact"/>
        <w:rPr>
          <w:sz w:val="20"/>
          <w:szCs w:val="20"/>
          <w:color w:val="auto"/>
        </w:rPr>
      </w:pPr>
    </w:p>
    <w:p>
      <w:pPr>
        <w:ind w:left="1860" w:hanging="220"/>
        <w:spacing w:after="0"/>
        <w:tabs>
          <w:tab w:leader="none" w:pos="1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 exercise of the outstanding options or warrants described above; and</w:t>
      </w:r>
    </w:p>
    <w:p>
      <w:pPr>
        <w:spacing w:after="0" w:line="88" w:lineRule="exact"/>
        <w:rPr>
          <w:rFonts w:ascii="Arial" w:cs="Arial" w:eastAsia="Arial" w:hAnsi="Arial"/>
          <w:sz w:val="17"/>
          <w:szCs w:val="17"/>
          <w:color w:val="auto"/>
        </w:rPr>
      </w:pPr>
    </w:p>
    <w:p>
      <w:pPr>
        <w:ind w:left="1860" w:right="979" w:hanging="220"/>
        <w:spacing w:after="0" w:line="276" w:lineRule="auto"/>
        <w:tabs>
          <w:tab w:leader="none" w:pos="1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up to 450,000 additional shares of our common stock.</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SUMMARY CONSOLIDATED FINANCIAL DATA</w:t>
      </w:r>
    </w:p>
    <w:p>
      <w:pPr>
        <w:spacing w:after="0" w:line="363" w:lineRule="exact"/>
        <w:rPr>
          <w:sz w:val="20"/>
          <w:szCs w:val="20"/>
          <w:color w:val="auto"/>
        </w:rPr>
      </w:pPr>
    </w:p>
    <w:p>
      <w:pPr>
        <w:ind w:left="1280" w:right="659"/>
        <w:spacing w:after="0" w:line="266" w:lineRule="auto"/>
        <w:rPr>
          <w:sz w:val="20"/>
          <w:szCs w:val="20"/>
          <w:color w:val="auto"/>
        </w:rPr>
      </w:pPr>
      <w:r>
        <w:rPr>
          <w:rFonts w:ascii="Arial" w:cs="Arial" w:eastAsia="Arial" w:hAnsi="Arial"/>
          <w:sz w:val="17"/>
          <w:szCs w:val="17"/>
          <w:color w:val="auto"/>
        </w:rPr>
        <w:t>The following tables set forth our summary consolidated statements of operations data for the years ended December 31, 2019 and 2018 and the three months ended March 31, 2020 and 2019 and our consolidated balance sheet data as of March 31, 2020. You should read the following tables together with our consolidated financial statements and the related notes and the “Management’s Discussion and Analysis of Financial Condition and Results of Operations” section incorporated by reference from our Annual Report on Form 10-K for the year ended December 31, 2019 and our Quarterly Report on Form 10-Q for the quarter ended March 31, 2020. We have derived the consolidated statements of operations data for the years ended December 31, 2019 and 2018 from our audited consolidated financial statements incorporated by reference in this prospectus. We have derived the consolidated statements of operations data for the three months ended March 31, 2020 and 2019 and the consolidated balance sheet data as of March 31, 2020 from our unaudited interim consolidated financial statements incorporated by reference in this prospectus. The unaudited interim consolidated financial data, in management’s opinion, have been prepared on the same basis as the audited consolidated financial statements and the related notes incorporated by reference in this prospectus, and include all adjustments, consisting only of normal recurring adjustments, that management considers necessary for a fair presentation of the information for the periods presented. Our historical results are not necessarily indicative of the results that may be expected for any period in the future.</w:t>
      </w:r>
    </w:p>
    <w:p>
      <w:pPr>
        <w:spacing w:after="0" w:line="200" w:lineRule="exact"/>
        <w:rPr>
          <w:sz w:val="20"/>
          <w:szCs w:val="20"/>
          <w:color w:val="auto"/>
        </w:rPr>
      </w:pPr>
    </w:p>
    <w:p>
      <w:pPr>
        <w:spacing w:after="0" w:line="377" w:lineRule="exact"/>
        <w:rPr>
          <w:sz w:val="20"/>
          <w:szCs w:val="20"/>
          <w:color w:val="auto"/>
        </w:rPr>
      </w:pPr>
    </w:p>
    <w:tbl>
      <w:tblPr>
        <w:tblLayout w:type="fixed"/>
        <w:tblInd w:w="128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60" w:type="dxa"/>
            <w:vAlign w:val="bottom"/>
            <w:gridSpan w:val="12"/>
          </w:tcPr>
          <w:p>
            <w:pPr>
              <w:jc w:val="right"/>
              <w:ind w:right="40"/>
              <w:spacing w:after="0"/>
              <w:rPr>
                <w:sz w:val="20"/>
                <w:szCs w:val="20"/>
                <w:color w:val="auto"/>
              </w:rPr>
            </w:pPr>
            <w:r>
              <w:rPr>
                <w:rFonts w:ascii="Arial" w:cs="Arial" w:eastAsia="Arial" w:hAnsi="Arial"/>
                <w:sz w:val="14"/>
                <w:szCs w:val="14"/>
                <w:b w:val="1"/>
                <w:bCs w:val="1"/>
                <w:color w:val="auto"/>
              </w:rPr>
              <w:t>YEAR ENDED DECEMBER 31, THREE MONTHS ENDED MARCH 31,</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80" w:type="dxa"/>
            <w:vAlign w:val="bottom"/>
            <w:gridSpan w:val="11"/>
          </w:tcPr>
          <w:p>
            <w:pPr>
              <w:jc w:val="right"/>
              <w:ind w:right="340"/>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w:t>
            </w:r>
          </w:p>
        </w:tc>
        <w:tc>
          <w:tcPr>
            <w:tcW w:w="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7"/>
                <w:szCs w:val="17"/>
                <w:color w:val="auto"/>
              </w:rPr>
              <w:t>Revenue</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15,446</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8,274</w:t>
            </w:r>
          </w:p>
        </w:tc>
        <w:tc>
          <w:tcPr>
            <w:tcW w:w="2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3,726</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 (excluding amortization of</w:t>
            </w: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intangible assets)</w:t>
            </w:r>
          </w:p>
        </w:tc>
        <w:tc>
          <w:tcPr>
            <w:tcW w:w="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5,870</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4,547</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1,450</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304</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785</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76</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Gross profit</w:t>
            </w:r>
          </w:p>
        </w:tc>
        <w:tc>
          <w:tcPr>
            <w:tcW w:w="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9,272</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2,942</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2,200</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1,798</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5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Operating expenses:</w:t>
            </w: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18,060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13,646</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5,269</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3,995</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6,223</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4,899</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2,518</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4,151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4,339</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912</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1,659</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00" w:type="dxa"/>
            <w:vAlign w:val="bottom"/>
          </w:tcPr>
          <w:p>
            <w:pPr>
              <w:ind w:left="180"/>
              <w:spacing w:after="0"/>
              <w:rPr>
                <w:sz w:val="20"/>
                <w:szCs w:val="20"/>
                <w:color w:val="auto"/>
              </w:rPr>
            </w:pPr>
            <w:r>
              <w:rPr>
                <w:rFonts w:ascii="Arial" w:cs="Arial" w:eastAsia="Arial" w:hAnsi="Arial"/>
                <w:sz w:val="17"/>
                <w:szCs w:val="17"/>
                <w:color w:val="auto"/>
              </w:rPr>
              <w:t>Gain on litigation settlement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(2,160)</w:t>
            </w: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vMerge w:val="continue"/>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28,434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20,724</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8,699</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6,978</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500" w:type="dxa"/>
            <w:vAlign w:val="bottom"/>
          </w:tcPr>
          <w:p>
            <w:pPr>
              <w:ind w:left="340"/>
              <w:spacing w:after="0"/>
              <w:rPr>
                <w:sz w:val="20"/>
                <w:szCs w:val="20"/>
                <w:color w:val="auto"/>
              </w:rPr>
            </w:pPr>
            <w:r>
              <w:rPr>
                <w:rFonts w:ascii="Arial" w:cs="Arial" w:eastAsia="Arial" w:hAnsi="Arial"/>
                <w:sz w:val="17"/>
                <w:szCs w:val="17"/>
                <w:color w:val="auto"/>
              </w:rPr>
              <w:t>Loss from operations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(19,162)</w:t>
            </w:r>
          </w:p>
        </w:tc>
        <w:tc>
          <w:tcPr>
            <w:tcW w:w="1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(17,782)</w:t>
            </w:r>
          </w:p>
        </w:tc>
        <w:tc>
          <w:tcPr>
            <w:tcW w:w="2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(6,499)</w:t>
            </w:r>
          </w:p>
        </w:tc>
        <w:tc>
          <w:tcPr>
            <w:tcW w:w="2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(5,180)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Other (expense) income:</w:t>
            </w: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(3,609)</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(1,802)</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(879)</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(912)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Loss on extinguishment of debt</w:t>
            </w: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(1,822)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Arial" w:cs="Arial" w:eastAsia="Arial" w:hAnsi="Arial"/>
                <w:sz w:val="17"/>
                <w:szCs w:val="17"/>
                <w:color w:val="auto"/>
              </w:rPr>
              <w:t>Change in fair value of preferred stock</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00" w:type="dxa"/>
            <w:vAlign w:val="bottom"/>
          </w:tcPr>
          <w:p>
            <w:pPr>
              <w:ind w:left="340"/>
              <w:spacing w:after="0"/>
              <w:rPr>
                <w:sz w:val="20"/>
                <w:szCs w:val="20"/>
                <w:color w:val="auto"/>
              </w:rPr>
            </w:pPr>
            <w:r>
              <w:rPr>
                <w:rFonts w:ascii="Arial" w:cs="Arial" w:eastAsia="Arial" w:hAnsi="Arial"/>
                <w:sz w:val="17"/>
                <w:szCs w:val="17"/>
                <w:color w:val="auto"/>
              </w:rPr>
              <w:t>warrant liability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244</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income</w:t>
            </w:r>
          </w:p>
        </w:tc>
        <w:tc>
          <w:tcPr>
            <w:tcW w:w="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351</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158</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500" w:type="dxa"/>
            <w:vAlign w:val="bottom"/>
          </w:tcPr>
          <w:p>
            <w:pPr>
              <w:ind w:left="340"/>
              <w:spacing w:after="0"/>
              <w:rPr>
                <w:sz w:val="20"/>
                <w:szCs w:val="20"/>
                <w:color w:val="auto"/>
              </w:rPr>
            </w:pPr>
            <w:r>
              <w:rPr>
                <w:rFonts w:ascii="Arial" w:cs="Arial" w:eastAsia="Arial" w:hAnsi="Arial"/>
                <w:sz w:val="17"/>
                <w:szCs w:val="17"/>
                <w:color w:val="auto"/>
              </w:rPr>
              <w:t>Total other (expense) income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(3,263)</w:t>
            </w:r>
          </w:p>
        </w:tc>
        <w:tc>
          <w:tcPr>
            <w:tcW w:w="1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(3,310)</w:t>
            </w:r>
          </w:p>
        </w:tc>
        <w:tc>
          <w:tcPr>
            <w:tcW w:w="2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(721)</w:t>
            </w:r>
          </w:p>
        </w:tc>
        <w:tc>
          <w:tcPr>
            <w:tcW w:w="2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(786)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(22,425)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(21,092)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(7,220)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(5,966)</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Arial" w:cs="Arial" w:eastAsia="Arial" w:hAnsi="Arial"/>
                <w:sz w:val="17"/>
                <w:szCs w:val="17"/>
                <w:color w:val="auto"/>
              </w:rPr>
              <w:t>Accretion of redeemable convertible preferred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00" w:type="dxa"/>
            <w:vAlign w:val="bottom"/>
          </w:tcPr>
          <w:p>
            <w:pPr>
              <w:ind w:left="180"/>
              <w:spacing w:after="0"/>
              <w:rPr>
                <w:sz w:val="20"/>
                <w:szCs w:val="20"/>
                <w:color w:val="auto"/>
              </w:rPr>
            </w:pPr>
            <w:r>
              <w:rPr>
                <w:rFonts w:ascii="Arial" w:cs="Arial" w:eastAsia="Arial" w:hAnsi="Arial"/>
                <w:sz w:val="17"/>
                <w:szCs w:val="17"/>
                <w:color w:val="auto"/>
              </w:rPr>
              <w:t>stock to redemption value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(7,783)</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(8,823)</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Net loss attributable to common stockholders</w:t>
            </w: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500" w:type="dxa"/>
            <w:vAlign w:val="bottom"/>
            <w:vMerge w:val="continue"/>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(30,208)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(29,915)</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(7,220)</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(7,991)</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line="190" w:lineRule="exact"/>
              <w:rPr>
                <w:sz w:val="20"/>
                <w:szCs w:val="20"/>
                <w:color w:val="auto"/>
              </w:rPr>
            </w:pPr>
            <w:r>
              <w:rPr>
                <w:rFonts w:ascii="Arial" w:cs="Arial" w:eastAsia="Arial" w:hAnsi="Arial"/>
                <w:sz w:val="17"/>
                <w:szCs w:val="17"/>
                <w:color w:val="auto"/>
              </w:rPr>
              <w:t>Net loss per common share, basic and</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3500" w:type="dxa"/>
            <w:vAlign w:val="bottom"/>
          </w:tcPr>
          <w:p>
            <w:pPr>
              <w:ind w:left="180"/>
              <w:spacing w:after="0" w:line="248" w:lineRule="exact"/>
              <w:rPr>
                <w:sz w:val="20"/>
                <w:szCs w:val="20"/>
                <w:color w:val="auto"/>
              </w:rPr>
            </w:pPr>
            <w:r>
              <w:rPr>
                <w:rFonts w:ascii="Arial" w:cs="Arial" w:eastAsia="Arial" w:hAnsi="Arial"/>
                <w:sz w:val="17"/>
                <w:szCs w:val="17"/>
                <w:color w:val="auto"/>
              </w:rPr>
              <w:t>diluted</w:t>
            </w:r>
            <w:r>
              <w:rPr>
                <w:rFonts w:ascii="Arial" w:cs="Arial" w:eastAsia="Arial" w:hAnsi="Arial"/>
                <w:sz w:val="25"/>
                <w:szCs w:val="25"/>
                <w:color w:val="auto"/>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(17.10)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(101.41)</w:t>
            </w:r>
          </w:p>
        </w:tc>
        <w:tc>
          <w:tcPr>
            <w:tcW w:w="2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(0.63)</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150"/>
        </w:trPr>
        <w:tc>
          <w:tcPr>
            <w:tcW w:w="3500" w:type="dxa"/>
            <w:vAlign w:val="bottom"/>
            <w:tcBorders>
              <w:top w:val="single" w:sz="8" w:color="CCEEFF"/>
            </w:tcBorders>
            <w:shd w:val="clear" w:color="auto" w:fill="CCEEFF"/>
          </w:tcPr>
          <w:p>
            <w:pPr>
              <w:spacing w:after="0" w:line="150" w:lineRule="exact"/>
              <w:rPr>
                <w:sz w:val="20"/>
                <w:szCs w:val="20"/>
                <w:color w:val="auto"/>
              </w:rPr>
            </w:pPr>
            <w:r>
              <w:rPr>
                <w:rFonts w:ascii="Arial" w:cs="Arial" w:eastAsia="Arial" w:hAnsi="Arial"/>
                <w:sz w:val="17"/>
                <w:szCs w:val="17"/>
                <w:color w:val="auto"/>
              </w:rPr>
              <w:t>Weighted average common shares</w:t>
            </w: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3500" w:type="dxa"/>
            <w:vAlign w:val="bottom"/>
            <w:shd w:val="clear" w:color="auto" w:fill="CCEEFF"/>
          </w:tcPr>
          <w:p>
            <w:pPr>
              <w:ind w:left="180"/>
              <w:spacing w:after="0" w:line="276" w:lineRule="exact"/>
              <w:rPr>
                <w:sz w:val="20"/>
                <w:szCs w:val="20"/>
                <w:color w:val="auto"/>
              </w:rPr>
            </w:pPr>
            <w:r>
              <w:rPr>
                <w:rFonts w:ascii="Arial" w:cs="Arial" w:eastAsia="Arial" w:hAnsi="Arial"/>
                <w:sz w:val="17"/>
                <w:szCs w:val="17"/>
                <w:color w:val="auto"/>
              </w:rPr>
              <w:t>outstanding, basic and diluted</w:t>
            </w:r>
            <w:r>
              <w:rPr>
                <w:rFonts w:ascii="Arial" w:cs="Arial" w:eastAsia="Arial" w:hAnsi="Arial"/>
                <w:sz w:val="25"/>
                <w:szCs w:val="25"/>
                <w:color w:val="auto"/>
                <w:vertAlign w:val="superscript"/>
              </w:rPr>
              <w:t>(1)</w:t>
            </w:r>
          </w:p>
        </w:tc>
        <w:tc>
          <w:tcPr>
            <w:tcW w:w="8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1,766,412</w:t>
            </w:r>
          </w:p>
        </w:tc>
        <w:tc>
          <w:tcPr>
            <w:tcW w:w="1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294,988</w:t>
            </w:r>
          </w:p>
        </w:tc>
        <w:tc>
          <w:tcPr>
            <w:tcW w:w="2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11,406,783</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295,992</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1500" w:right="819" w:hanging="220"/>
        <w:spacing w:after="0" w:line="242" w:lineRule="auto"/>
        <w:tabs>
          <w:tab w:leader="none" w:pos="1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See Note 3 to our annual and interim consolidated financial statements incorporated by reference in this prospectus for an explanation of the method used to calculate basic and diluted net loss per common share.</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28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MARCH 31, 2020</w:t>
            </w:r>
          </w:p>
        </w:tc>
        <w:tc>
          <w:tcPr>
            <w:tcW w:w="220" w:type="dxa"/>
            <w:vAlign w:val="bottom"/>
          </w:tcPr>
          <w:p>
            <w:pPr>
              <w:spacing w:after="0"/>
              <w:rPr>
                <w:sz w:val="17"/>
                <w:szCs w:val="17"/>
                <w:color w:val="auto"/>
              </w:rPr>
            </w:pPr>
          </w:p>
        </w:tc>
      </w:tr>
      <w:tr>
        <w:trPr>
          <w:trHeight w:val="173"/>
        </w:trPr>
        <w:tc>
          <w:tcPr>
            <w:tcW w:w="6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w:t>
            </w:r>
          </w:p>
        </w:tc>
      </w:tr>
      <w:tr>
        <w:trPr>
          <w:trHeight w:val="272"/>
        </w:trPr>
        <w:tc>
          <w:tcPr>
            <w:tcW w:w="6200" w:type="dxa"/>
            <w:vAlign w:val="bottom"/>
          </w:tcPr>
          <w:p>
            <w:pPr>
              <w:spacing w:after="0"/>
              <w:rPr>
                <w:sz w:val="23"/>
                <w:szCs w:val="23"/>
                <w:color w:val="auto"/>
              </w:rPr>
            </w:pPr>
          </w:p>
        </w:tc>
        <w:tc>
          <w:tcPr>
            <w:tcW w:w="760" w:type="dxa"/>
            <w:vAlign w:val="bottom"/>
          </w:tcPr>
          <w:p>
            <w:pPr>
              <w:jc w:val="right"/>
              <w:ind w:right="60"/>
              <w:spacing w:after="0"/>
              <w:rPr>
                <w:sz w:val="20"/>
                <w:szCs w:val="20"/>
                <w:color w:val="auto"/>
              </w:rPr>
            </w:pPr>
            <w:r>
              <w:rPr>
                <w:rFonts w:ascii="Arial" w:cs="Arial" w:eastAsia="Arial" w:hAnsi="Arial"/>
                <w:sz w:val="14"/>
                <w:szCs w:val="14"/>
                <w:b w:val="1"/>
                <w:bCs w:val="1"/>
                <w:color w:val="auto"/>
              </w:rPr>
              <w:t>ACTUAL</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21"/>
                <w:szCs w:val="21"/>
                <w:b w:val="1"/>
                <w:bCs w:val="1"/>
                <w:color w:val="auto"/>
                <w:vertAlign w:val="superscript"/>
              </w:rPr>
              <w:t>(2)</w:t>
            </w:r>
          </w:p>
        </w:tc>
      </w:tr>
      <w:tr>
        <w:trPr>
          <w:trHeight w:val="203"/>
        </w:trPr>
        <w:tc>
          <w:tcPr>
            <w:tcW w:w="6200" w:type="dxa"/>
            <w:vAlign w:val="bottom"/>
          </w:tcPr>
          <w:p>
            <w:pPr>
              <w:spacing w:after="0"/>
              <w:rPr>
                <w:sz w:val="17"/>
                <w:szCs w:val="17"/>
                <w:color w:val="auto"/>
              </w:rPr>
            </w:pPr>
          </w:p>
        </w:tc>
        <w:tc>
          <w:tcPr>
            <w:tcW w:w="1780" w:type="dxa"/>
            <w:vAlign w:val="bottom"/>
            <w:tcBorders>
              <w:top w:val="single" w:sz="8" w:color="auto"/>
            </w:tcBorders>
            <w:gridSpan w:val="2"/>
          </w:tcPr>
          <w:p>
            <w:pPr>
              <w:jc w:val="right"/>
              <w:ind w:right="198"/>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r>
      <w:tr>
        <w:trPr>
          <w:trHeight w:val="236"/>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7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41"/>
        </w:trPr>
        <w:tc>
          <w:tcPr>
            <w:tcW w:w="6200" w:type="dxa"/>
            <w:vAlign w:val="bottom"/>
          </w:tcPr>
          <w:p>
            <w:pPr>
              <w:spacing w:after="0"/>
              <w:rPr>
                <w:sz w:val="20"/>
                <w:szCs w:val="20"/>
                <w:color w:val="auto"/>
              </w:rPr>
            </w:pPr>
            <w:r>
              <w:rPr>
                <w:rFonts w:ascii="Arial" w:cs="Arial" w:eastAsia="Arial" w:hAnsi="Arial"/>
                <w:sz w:val="17"/>
                <w:szCs w:val="17"/>
                <w:color w:val="auto"/>
              </w:rPr>
              <w:t>Cash, cash equivalents and short-term investments</w:t>
            </w:r>
          </w:p>
        </w:tc>
        <w:tc>
          <w:tcPr>
            <w:tcW w:w="760" w:type="dxa"/>
            <w:vAlign w:val="bottom"/>
          </w:tcPr>
          <w:p>
            <w:pPr>
              <w:jc w:val="right"/>
              <w:ind w:right="20"/>
              <w:spacing w:after="0"/>
              <w:rPr>
                <w:sz w:val="20"/>
                <w:szCs w:val="20"/>
                <w:color w:val="auto"/>
              </w:rPr>
            </w:pPr>
            <w:r>
              <w:rPr>
                <w:rFonts w:ascii="Arial" w:cs="Arial" w:eastAsia="Arial" w:hAnsi="Arial"/>
                <w:sz w:val="17"/>
                <w:szCs w:val="17"/>
                <w:color w:val="auto"/>
              </w:rPr>
              <w:t>$46,700</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  105,188</w:t>
            </w:r>
          </w:p>
        </w:tc>
      </w:tr>
      <w:tr>
        <w:trPr>
          <w:trHeight w:val="258"/>
        </w:trPr>
        <w:tc>
          <w:tcPr>
            <w:tcW w:w="6200" w:type="dxa"/>
            <w:vAlign w:val="bottom"/>
            <w:shd w:val="clear" w:color="auto" w:fill="CCEEFF"/>
          </w:tcPr>
          <w:p>
            <w:pPr>
              <w:spacing w:after="0" w:line="258" w:lineRule="exact"/>
              <w:rPr>
                <w:sz w:val="20"/>
                <w:szCs w:val="20"/>
                <w:color w:val="auto"/>
              </w:rPr>
            </w:pPr>
            <w:r>
              <w:rPr>
                <w:rFonts w:ascii="Arial" w:cs="Arial" w:eastAsia="Arial" w:hAnsi="Arial"/>
                <w:sz w:val="17"/>
                <w:szCs w:val="17"/>
                <w:color w:val="auto"/>
              </w:rPr>
              <w:t>Working capital</w:t>
            </w:r>
            <w:r>
              <w:rPr>
                <w:rFonts w:ascii="Arial" w:cs="Arial" w:eastAsia="Arial" w:hAnsi="Arial"/>
                <w:sz w:val="25"/>
                <w:szCs w:val="25"/>
                <w:color w:val="auto"/>
                <w:vertAlign w:val="superscript"/>
              </w:rPr>
              <w:t>(1)</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51,081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109,569</w:t>
            </w:r>
          </w:p>
        </w:tc>
      </w:tr>
      <w:tr>
        <w:trPr>
          <w:trHeight w:val="241"/>
        </w:trPr>
        <w:tc>
          <w:tcPr>
            <w:tcW w:w="6200" w:type="dxa"/>
            <w:vAlign w:val="bottom"/>
          </w:tcPr>
          <w:p>
            <w:pPr>
              <w:spacing w:after="0"/>
              <w:rPr>
                <w:sz w:val="20"/>
                <w:szCs w:val="20"/>
                <w:color w:val="auto"/>
              </w:rPr>
            </w:pPr>
            <w:r>
              <w:rPr>
                <w:rFonts w:ascii="Arial" w:cs="Arial" w:eastAsia="Arial" w:hAnsi="Arial"/>
                <w:sz w:val="17"/>
                <w:szCs w:val="17"/>
                <w:color w:val="auto"/>
              </w:rPr>
              <w:t>Total assets</w:t>
            </w:r>
          </w:p>
        </w:tc>
        <w:tc>
          <w:tcPr>
            <w:tcW w:w="760" w:type="dxa"/>
            <w:vAlign w:val="bottom"/>
          </w:tcPr>
          <w:p>
            <w:pPr>
              <w:jc w:val="right"/>
              <w:ind w:right="20"/>
              <w:spacing w:after="0"/>
              <w:rPr>
                <w:sz w:val="20"/>
                <w:szCs w:val="20"/>
                <w:color w:val="auto"/>
              </w:rPr>
            </w:pPr>
            <w:r>
              <w:rPr>
                <w:rFonts w:ascii="Arial" w:cs="Arial" w:eastAsia="Arial" w:hAnsi="Arial"/>
                <w:sz w:val="17"/>
                <w:szCs w:val="17"/>
                <w:color w:val="auto"/>
              </w:rPr>
              <w:t>58,841</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117,329</w:t>
            </w:r>
          </w:p>
        </w:tc>
      </w:tr>
      <w:tr>
        <w:trPr>
          <w:trHeight w:val="245"/>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Long-term debt with related party</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30,381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30,381</w:t>
            </w:r>
          </w:p>
        </w:tc>
      </w:tr>
      <w:tr>
        <w:trPr>
          <w:trHeight w:val="239"/>
        </w:trPr>
        <w:tc>
          <w:tcPr>
            <w:tcW w:w="6200" w:type="dxa"/>
            <w:vAlign w:val="bottom"/>
          </w:tcPr>
          <w:p>
            <w:pPr>
              <w:spacing w:after="0"/>
              <w:rPr>
                <w:sz w:val="20"/>
                <w:szCs w:val="20"/>
                <w:color w:val="auto"/>
              </w:rPr>
            </w:pPr>
            <w:r>
              <w:rPr>
                <w:rFonts w:ascii="Arial" w:cs="Arial" w:eastAsia="Arial" w:hAnsi="Arial"/>
                <w:sz w:val="17"/>
                <w:szCs w:val="17"/>
                <w:color w:val="auto"/>
              </w:rPr>
              <w:t>Total stockholders’ equity</w:t>
            </w:r>
          </w:p>
        </w:tc>
        <w:tc>
          <w:tcPr>
            <w:tcW w:w="760" w:type="dxa"/>
            <w:vAlign w:val="bottom"/>
          </w:tcPr>
          <w:p>
            <w:pPr>
              <w:jc w:val="right"/>
              <w:ind w:right="20"/>
              <w:spacing w:after="0"/>
              <w:rPr>
                <w:sz w:val="20"/>
                <w:szCs w:val="20"/>
                <w:color w:val="auto"/>
              </w:rPr>
            </w:pPr>
            <w:r>
              <w:rPr>
                <w:rFonts w:ascii="Arial" w:cs="Arial" w:eastAsia="Arial" w:hAnsi="Arial"/>
                <w:sz w:val="17"/>
                <w:szCs w:val="17"/>
                <w:color w:val="auto"/>
              </w:rPr>
              <w:t>24,227</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82,715</w:t>
            </w:r>
          </w:p>
        </w:tc>
      </w:tr>
    </w:tbl>
    <w:p>
      <w:pPr>
        <w:spacing w:after="0" w:line="228" w:lineRule="exact"/>
        <w:rPr>
          <w:sz w:val="20"/>
          <w:szCs w:val="20"/>
          <w:color w:val="auto"/>
        </w:rPr>
      </w:pPr>
    </w:p>
    <w:p>
      <w:pPr>
        <w:ind w:left="1500" w:hanging="220"/>
        <w:spacing w:after="0"/>
        <w:tabs>
          <w:tab w:leader="none" w:pos="1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Working capital is calculated as current assets minus current liabilities.</w:t>
      </w:r>
    </w:p>
    <w:p>
      <w:pPr>
        <w:spacing w:after="0" w:line="80" w:lineRule="exact"/>
        <w:rPr>
          <w:rFonts w:ascii="Arial" w:cs="Arial" w:eastAsia="Arial" w:hAnsi="Arial"/>
          <w:sz w:val="13"/>
          <w:szCs w:val="13"/>
          <w:color w:val="auto"/>
        </w:rPr>
      </w:pPr>
    </w:p>
    <w:p>
      <w:pPr>
        <w:ind w:left="1500" w:right="679" w:hanging="220"/>
        <w:spacing w:after="0" w:line="260" w:lineRule="auto"/>
        <w:tabs>
          <w:tab w:leader="none" w:pos="1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Reflects the issuance and sale of shares of 3,000,000 shares of common stock in this offering at the public offering price of $20.90 per share, which is the last reported trading price of our common stock on the Nasdaq Global Market on June 22, 2020, after deducting the estimated underwriting discounts and commissions and estimated offering expenses payable by us. Such information is illustrative only, and will be adjusted based on the actual public offering price and other terms of this offering determined at pricing. A $1.00 increase (decrease) in the assumed public offering price of $20.90 per share, the last reported trading price of our common stock on the Nasdaq Global Market on June 22, 2020, would increase (decrease) the amount of cash, cash equivalents and short-term investments, working capital, total assets and total stockholders’ equity on an as adjusted basis by approximately $2.8 million, assuming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Each increase (decrease) of 1,000,000 shares offered by us would increase (decrease) cash, cash equivalents and short-term investments, working capital, total assets and total stockholders’ equity on an as adjusted basis by approximately $19.6 million, assuming the assumed public offering price of $20.90 per share, the last reported trading price of our common stock on the Nasdaq Global Market on June 22, 2020, remains the same, and after deducting the estimated underwriting discounts and commissions and estimated offering expenses payable by us.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RISK FACTORS</w:t>
      </w:r>
    </w:p>
    <w:p>
      <w:pPr>
        <w:spacing w:after="0" w:line="332" w:lineRule="exact"/>
        <w:rPr>
          <w:sz w:val="20"/>
          <w:szCs w:val="20"/>
          <w:color w:val="auto"/>
        </w:rPr>
      </w:pPr>
    </w:p>
    <w:p>
      <w:pPr>
        <w:ind w:left="1260" w:right="699"/>
        <w:spacing w:after="0" w:line="251" w:lineRule="auto"/>
        <w:rPr>
          <w:sz w:val="20"/>
          <w:szCs w:val="20"/>
          <w:color w:val="auto"/>
        </w:rPr>
      </w:pPr>
      <w:r>
        <w:rPr>
          <w:rFonts w:ascii="Arial" w:cs="Arial" w:eastAsia="Arial" w:hAnsi="Arial"/>
          <w:sz w:val="17"/>
          <w:szCs w:val="17"/>
          <w:i w:val="1"/>
          <w:iCs w:val="1"/>
          <w:color w:val="auto"/>
        </w:rPr>
        <w:t>Investing in our common stock involves a high degree of risk. These risks include, but are not limited to, those described below, each of which may be relevant to an investment decision. You should carefully consider the risks described below, together with all of the other information in this prospectus and the documents incorporated by reference into this prospectus, the risks identified under “Item 1A. Risk Factors” in our Annual Report on Form 10-K for the year ended December 31, 2019, as revised or supplemented by our Quarterly Report on Form 10-Q for the quarter ended March 31, 2020 or our subsequent current reports on Form 8-K that we have filed with the SEC, all of which are incorporated by reference herein, before investing in our common stock. While we believe that the risks and uncertainties described below are the material risks facing our business, additional risks that we do not know of or that we currently think are immaterial may also arise and materially affect our business. The realization of any of these risks could have a material adverse effect on our business, financial condition, results of operations, and our ability to accomplish our strategic objectives. In that event, the trading price of our common stock could decline, and you may lose part or all of your investment.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Risks Related to Our Common Stock and this Offering</w:t>
      </w:r>
    </w:p>
    <w:p>
      <w:pPr>
        <w:spacing w:after="0" w:line="156" w:lineRule="exact"/>
        <w:rPr>
          <w:sz w:val="20"/>
          <w:szCs w:val="20"/>
          <w:color w:val="auto"/>
        </w:rPr>
      </w:pPr>
    </w:p>
    <w:p>
      <w:pPr>
        <w:ind w:left="1260" w:right="779"/>
        <w:spacing w:after="0" w:line="249" w:lineRule="auto"/>
        <w:rPr>
          <w:sz w:val="20"/>
          <w:szCs w:val="20"/>
          <w:color w:val="auto"/>
        </w:rPr>
      </w:pPr>
      <w:r>
        <w:rPr>
          <w:rFonts w:ascii="Arial" w:cs="Arial" w:eastAsia="Arial" w:hAnsi="Arial"/>
          <w:sz w:val="17"/>
          <w:szCs w:val="17"/>
          <w:b w:val="1"/>
          <w:bCs w:val="1"/>
          <w:i w:val="1"/>
          <w:iCs w:val="1"/>
          <w:color w:val="auto"/>
        </w:rPr>
        <w:t>If you purchase shares of our common stock in this offering, you will incur immediate and substantial dilution in the book value of your shares. In addition, we may issue additional securities in the future, which may result in additional dilution.</w:t>
      </w:r>
    </w:p>
    <w:p>
      <w:pPr>
        <w:spacing w:after="0" w:line="127" w:lineRule="exact"/>
        <w:rPr>
          <w:sz w:val="20"/>
          <w:szCs w:val="20"/>
          <w:color w:val="auto"/>
        </w:rPr>
      </w:pPr>
    </w:p>
    <w:p>
      <w:pPr>
        <w:ind w:left="1260" w:right="739"/>
        <w:spacing w:after="0" w:line="249" w:lineRule="auto"/>
        <w:rPr>
          <w:sz w:val="20"/>
          <w:szCs w:val="20"/>
          <w:color w:val="auto"/>
        </w:rPr>
      </w:pPr>
      <w:r>
        <w:rPr>
          <w:rFonts w:ascii="Arial" w:cs="Arial" w:eastAsia="Arial" w:hAnsi="Arial"/>
          <w:sz w:val="17"/>
          <w:szCs w:val="17"/>
          <w:color w:val="auto"/>
        </w:rPr>
        <w:t>Investors purchasing shares of our common stock in this offering will pay a price per share that substantially exceeds the pro forma as adjusted net tangible book value per share of our common stock. As a result, investors purchasing common stock in this offering will incur immediate dilution of $15.36 per share, based on an assumed public offering price of $20.90 per share, which is the last reported trading price of our common stock on the Nasdaq Global Market on June 22, 2020, representing the difference between the assumed public offering price per share and our pro forma as adjusted net tangible book value per share as of March 31, 2020. To the extent outstanding stock options are exercised, new stock options are issued or we issue additional shares of common stock in the future, including through the sale of equity or convertible debt securities, there will be further dilution to new investors. As a result of the dilution to investors purchasing common stock in this offering, investors may receive significantly less than the purchase price paid in this offering, if anything, in the event of our liquidation. For more information on the dilution you may experience as a result of investing in this offering, see the section of this prospectus entitled “Dilution.”</w:t>
      </w:r>
    </w:p>
    <w:p>
      <w:pPr>
        <w:spacing w:after="0" w:line="192" w:lineRule="exact"/>
        <w:rPr>
          <w:sz w:val="20"/>
          <w:szCs w:val="20"/>
          <w:color w:val="auto"/>
        </w:rPr>
      </w:pPr>
    </w:p>
    <w:p>
      <w:pPr>
        <w:ind w:left="1260" w:right="859"/>
        <w:spacing w:after="0" w:line="267" w:lineRule="auto"/>
        <w:rPr>
          <w:sz w:val="20"/>
          <w:szCs w:val="20"/>
          <w:color w:val="auto"/>
        </w:rPr>
      </w:pPr>
      <w:r>
        <w:rPr>
          <w:rFonts w:ascii="Arial" w:cs="Arial" w:eastAsia="Arial" w:hAnsi="Arial"/>
          <w:sz w:val="17"/>
          <w:szCs w:val="17"/>
          <w:b w:val="1"/>
          <w:bCs w:val="1"/>
          <w:i w:val="1"/>
          <w:iCs w:val="1"/>
          <w:color w:val="auto"/>
        </w:rPr>
        <w:t>We will have broad discretion in the use of proceeds of this offering designated for working capital and general corporate purposes and may not use them effectively.</w:t>
      </w:r>
    </w:p>
    <w:p>
      <w:pPr>
        <w:spacing w:after="0" w:line="98" w:lineRule="exact"/>
        <w:rPr>
          <w:sz w:val="20"/>
          <w:szCs w:val="20"/>
          <w:color w:val="auto"/>
        </w:rPr>
      </w:pPr>
    </w:p>
    <w:p>
      <w:pPr>
        <w:ind w:left="1260" w:right="719"/>
        <w:spacing w:after="0" w:line="250" w:lineRule="auto"/>
        <w:rPr>
          <w:sz w:val="20"/>
          <w:szCs w:val="20"/>
          <w:color w:val="auto"/>
        </w:rPr>
      </w:pPr>
      <w:r>
        <w:rPr>
          <w:rFonts w:ascii="Arial" w:cs="Arial" w:eastAsia="Arial" w:hAnsi="Arial"/>
          <w:sz w:val="17"/>
          <w:szCs w:val="17"/>
          <w:color w:val="auto"/>
        </w:rPr>
        <w:t>We intend to use the net proceeds from this offering to hire additional sales and marketing personnel and expand marketing and physician education activities to support the ongoing commercialization of our OviTex and OviTex PRS product lines, to fund the research and development of new product offerings, post-market studies and IDE protocol development for our OviTex PRS products and for working capital and general corporate purposes. Within those categories, we have not determined the specific allocation of the net proceeds of this offering. Our management will have broad discretion over the use and investment of the net proceeds of this offering within those categories. Accordingly, investors in this offering have only limited information concerning our management’s specific intentions and will need to rely upon the judgment of our management with respect to the use of proceeds.</w:t>
      </w:r>
    </w:p>
    <w:p>
      <w:pPr>
        <w:spacing w:after="0" w:line="138" w:lineRule="exact"/>
        <w:rPr>
          <w:sz w:val="20"/>
          <w:szCs w:val="20"/>
          <w:color w:val="auto"/>
        </w:rPr>
      </w:pPr>
    </w:p>
    <w:p>
      <w:pPr>
        <w:ind w:left="1260" w:right="699"/>
        <w:spacing w:after="0" w:line="250" w:lineRule="auto"/>
        <w:rPr>
          <w:sz w:val="20"/>
          <w:szCs w:val="20"/>
          <w:color w:val="auto"/>
        </w:rPr>
      </w:pPr>
      <w:r>
        <w:rPr>
          <w:rFonts w:ascii="Arial" w:cs="Arial" w:eastAsia="Arial" w:hAnsi="Arial"/>
          <w:sz w:val="17"/>
          <w:szCs w:val="17"/>
          <w:color w:val="auto"/>
        </w:rPr>
        <w:t>Because of the number and variability of factors that will determine our use of our existing cash, cash equivalents, short-term investments and the net proceeds from this offering, their ultimate use may vary substantially from their currently intended use. Our management might not apply our existing cash, cash equivalents, short-term investments and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200" w:lineRule="exact"/>
        <w:rPr>
          <w:sz w:val="20"/>
          <w:szCs w:val="20"/>
          <w:color w:val="auto"/>
        </w:rPr>
      </w:pPr>
    </w:p>
    <w:p>
      <w:pPr>
        <w:spacing w:after="0" w:line="23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right="939"/>
        <w:spacing w:after="0" w:line="266" w:lineRule="auto"/>
        <w:rPr>
          <w:sz w:val="20"/>
          <w:szCs w:val="20"/>
          <w:color w:val="auto"/>
        </w:rPr>
      </w:pPr>
      <w:r>
        <w:rPr>
          <w:rFonts w:ascii="Arial" w:cs="Arial" w:eastAsia="Arial" w:hAnsi="Arial"/>
          <w:sz w:val="17"/>
          <w:szCs w:val="17"/>
          <w:b w:val="1"/>
          <w:bCs w:val="1"/>
          <w:i w:val="1"/>
          <w:iCs w:val="1"/>
          <w:color w:val="auto"/>
        </w:rPr>
        <w:t>A significant portion of our outstanding shares of common stock are restricted from immediate resale but may be sold into the market in the near future. This could cause the market price of our common stock to drop significantly, even if our business is doing well.</w:t>
      </w:r>
    </w:p>
    <w:p>
      <w:pPr>
        <w:spacing w:after="0" w:line="140" w:lineRule="exact"/>
        <w:rPr>
          <w:sz w:val="20"/>
          <w:szCs w:val="20"/>
          <w:color w:val="auto"/>
        </w:rPr>
      </w:pPr>
    </w:p>
    <w:p>
      <w:pPr>
        <w:ind w:left="1260" w:right="779"/>
        <w:spacing w:after="0" w:line="266"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these sales may occur, could result in a decrease in the market price of our common stock. Immediately after this offering, we will have outstanding 14,407,600 shares of common stock, based on the number of shares common stock outstanding as of March 31, 2020. This includes the shares that we are selling in this offering, which may be resold in the public market immediately without restriction, unless purchased by our affiliates or existing stockholders. Of the remaining shares, approximately 5.0 million shares are restricted from sale as a result of 90-day lock-up agreements (which may be waived, with or without notice, by the representatives of the underwriters) but will be able to be sold beginning 90 days after this offering, unless held by one of our affiliates, in which case the resale of those securities will be subject to volume limitations under Rule 144 of the Securities Act of 1933, as amended, or the Securities Act.</w:t>
      </w:r>
    </w:p>
    <w:p>
      <w:pPr>
        <w:spacing w:after="0" w:line="141" w:lineRule="exact"/>
        <w:rPr>
          <w:sz w:val="20"/>
          <w:szCs w:val="20"/>
          <w:color w:val="auto"/>
        </w:rPr>
      </w:pPr>
    </w:p>
    <w:p>
      <w:pPr>
        <w:ind w:left="1260" w:right="719"/>
        <w:spacing w:after="0" w:line="266" w:lineRule="auto"/>
        <w:rPr>
          <w:sz w:val="20"/>
          <w:szCs w:val="20"/>
          <w:color w:val="auto"/>
        </w:rPr>
      </w:pPr>
      <w:r>
        <w:rPr>
          <w:rFonts w:ascii="Arial" w:cs="Arial" w:eastAsia="Arial" w:hAnsi="Arial"/>
          <w:sz w:val="17"/>
          <w:szCs w:val="17"/>
          <w:color w:val="auto"/>
        </w:rPr>
        <w:t>Moreover, holders of an aggregate of up to 4.2 million shares of our common stock,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and we have registered shares issuable under the 2019 Plan, the ESPP and our 2012 Stock Incentive Plan pursuant to a Form S-8 filed with the SEC on November 25, 2019. Any shares so registered can be freely sold in the public market, subject to volume limitations applicable to affiliates and the lockup agreements referred to above and described in the section of this prospectus entitled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63" w:lineRule="exact"/>
        <w:rPr>
          <w:sz w:val="20"/>
          <w:szCs w:val="20"/>
          <w:color w:val="auto"/>
        </w:rPr>
      </w:pPr>
    </w:p>
    <w:p>
      <w:pPr>
        <w:ind w:left="1260" w:right="679"/>
        <w:spacing w:after="0" w:line="266" w:lineRule="auto"/>
        <w:rPr>
          <w:sz w:val="20"/>
          <w:szCs w:val="20"/>
          <w:color w:val="auto"/>
        </w:rPr>
      </w:pPr>
      <w:r>
        <w:rPr>
          <w:rFonts w:ascii="Arial" w:cs="Arial" w:eastAsia="Arial" w:hAnsi="Arial"/>
          <w:sz w:val="17"/>
          <w:szCs w:val="17"/>
          <w:color w:val="auto"/>
        </w:rPr>
        <w:t>Statements made in this prospectus and the documents incorporated by reference into this prospectus that are not statements of historical or current facts are “forward-looking statements” within the meaning of the Private Securities Litigation Reform Act of 1995.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These forward-looking statements, which are subject to risks, uncertainties and assumptions about us, may include projections of our future financial performance, our anticipated growth strategies and anticipated trends in our business.</w:t>
      </w:r>
    </w:p>
    <w:p>
      <w:pPr>
        <w:spacing w:after="0" w:line="140" w:lineRule="exact"/>
        <w:rPr>
          <w:sz w:val="20"/>
          <w:szCs w:val="20"/>
          <w:color w:val="auto"/>
        </w:rPr>
      </w:pPr>
    </w:p>
    <w:p>
      <w:pPr>
        <w:jc w:val="both"/>
        <w:ind w:left="1260" w:right="919"/>
        <w:spacing w:after="0" w:line="270" w:lineRule="auto"/>
        <w:rPr>
          <w:sz w:val="20"/>
          <w:szCs w:val="20"/>
          <w:color w:val="auto"/>
        </w:rPr>
      </w:pPr>
      <w:r>
        <w:rPr>
          <w:rFonts w:ascii="Arial" w:cs="Arial" w:eastAsia="Arial" w:hAnsi="Arial"/>
          <w:sz w:val="17"/>
          <w:szCs w:val="17"/>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69" w:lineRule="exact"/>
        <w:rPr>
          <w:sz w:val="20"/>
          <w:szCs w:val="20"/>
          <w:color w:val="auto"/>
        </w:rPr>
      </w:pPr>
    </w:p>
    <w:p>
      <w:pPr>
        <w:ind w:left="1840" w:right="759" w:hanging="218"/>
        <w:spacing w:after="0" w:line="276" w:lineRule="auto"/>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estimates regarding future results of operations, financial position, research and development costs, capital requirements and our needs for additional financing;</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commercial success and the degree of market acceptance of our products;</w:t>
      </w:r>
    </w:p>
    <w:p>
      <w:pPr>
        <w:spacing w:after="0" w:line="101" w:lineRule="exact"/>
        <w:rPr>
          <w:rFonts w:ascii="Arial" w:cs="Arial" w:eastAsia="Arial" w:hAnsi="Arial"/>
          <w:sz w:val="17"/>
          <w:szCs w:val="17"/>
          <w:color w:val="auto"/>
        </w:rPr>
      </w:pPr>
    </w:p>
    <w:p>
      <w:pPr>
        <w:ind w:left="1840" w:right="1199" w:hanging="218"/>
        <w:spacing w:after="0" w:line="276" w:lineRule="auto"/>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expand, manage and maintain our direct sales and marketing organization and to market and sell our products in the United States;</w:t>
      </w:r>
    </w:p>
    <w:p>
      <w:pPr>
        <w:spacing w:after="0" w:line="49" w:lineRule="exact"/>
        <w:rPr>
          <w:rFonts w:ascii="Arial" w:cs="Arial" w:eastAsia="Arial" w:hAnsi="Arial"/>
          <w:sz w:val="17"/>
          <w:szCs w:val="17"/>
          <w:color w:val="auto"/>
        </w:rPr>
      </w:pPr>
    </w:p>
    <w:p>
      <w:pPr>
        <w:ind w:left="1840" w:right="699" w:hanging="218"/>
        <w:spacing w:after="0" w:line="268" w:lineRule="auto"/>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full extent to which the COVID-19 pandemic will, directly or indirectly, impact our business, results of operations and financial condition, including our revenue, expenses, manufacturing capability, supply chain integrity, research and development activities, and employee-related matters, including compensation, resulting from deferrals of elective procedures using our products;</w:t>
      </w:r>
    </w:p>
    <w:p>
      <w:pPr>
        <w:spacing w:after="0" w:line="71" w:lineRule="exact"/>
        <w:rPr>
          <w:rFonts w:ascii="Arial" w:cs="Arial" w:eastAsia="Arial" w:hAnsi="Arial"/>
          <w:sz w:val="17"/>
          <w:szCs w:val="17"/>
          <w:color w:val="auto"/>
        </w:rPr>
      </w:pPr>
    </w:p>
    <w:p>
      <w:pPr>
        <w:ind w:left="1840" w:right="1059" w:hanging="218"/>
        <w:spacing w:after="0" w:line="268" w:lineRule="auto"/>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future developments around COVID-19 and the uncertainty of COVID-19, including new information that may emerge, any resurgence in COVID-19 transmission and infection after the loosening of “shelter-in-place” restrictions or resumption of surgical procedures, and the actions taken to contain or treat COVID-19, as well as the economic impact on regional, national and international customers and markets;</w:t>
      </w:r>
    </w:p>
    <w:p>
      <w:pPr>
        <w:spacing w:after="0" w:line="69"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performance of Aroa in connection with the development and production of our products;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compete successfully with larger competitors in our highly competitive industry;</w:t>
      </w:r>
    </w:p>
    <w:p>
      <w:pPr>
        <w:spacing w:after="0" w:line="88" w:lineRule="exact"/>
        <w:rPr>
          <w:rFonts w:ascii="Arial" w:cs="Arial" w:eastAsia="Arial" w:hAnsi="Arial"/>
          <w:sz w:val="17"/>
          <w:szCs w:val="17"/>
          <w:color w:val="auto"/>
        </w:rPr>
      </w:pPr>
    </w:p>
    <w:p>
      <w:pPr>
        <w:ind w:left="1840" w:right="759" w:hanging="218"/>
        <w:spacing w:after="0" w:line="276" w:lineRule="auto"/>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achieve and maintain adequate levels of coverage or reimbursement to our current and any future products we may seek to commercialize;</w:t>
      </w:r>
    </w:p>
    <w:p>
      <w:pPr>
        <w:spacing w:after="0" w:line="63" w:lineRule="exact"/>
        <w:rPr>
          <w:rFonts w:ascii="Arial" w:cs="Arial" w:eastAsia="Arial" w:hAnsi="Arial"/>
          <w:sz w:val="17"/>
          <w:szCs w:val="17"/>
          <w:color w:val="auto"/>
        </w:rPr>
      </w:pPr>
    </w:p>
    <w:p>
      <w:pPr>
        <w:ind w:left="1840" w:right="1419" w:hanging="218"/>
        <w:spacing w:after="0" w:line="276" w:lineRule="auto"/>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enhance our products, expand our indications and develop and commercialize additional products;</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development, regulatory approval, efficacy and commercialization of competing products;</w:t>
      </w:r>
    </w:p>
    <w:p>
      <w:pPr>
        <w:spacing w:after="0" w:line="101" w:lineRule="exact"/>
        <w:rPr>
          <w:rFonts w:ascii="Arial" w:cs="Arial" w:eastAsia="Arial" w:hAnsi="Arial"/>
          <w:sz w:val="17"/>
          <w:szCs w:val="17"/>
          <w:color w:val="auto"/>
        </w:rPr>
      </w:pPr>
    </w:p>
    <w:p>
      <w:pPr>
        <w:ind w:left="1840" w:right="919" w:hanging="218"/>
        <w:spacing w:after="0" w:line="276" w:lineRule="auto"/>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business model and strategic plans for our products, technologies and business, including our implementation thereof;</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size of the markets for our current and future products;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attract and retain senior management and other highly qualified personnel;</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obtain additional capital to finance our planned operations;</w:t>
      </w:r>
    </w:p>
    <w:p>
      <w:pPr>
        <w:spacing w:after="0" w:line="101" w:lineRule="exact"/>
        <w:rPr>
          <w:rFonts w:ascii="Arial" w:cs="Arial" w:eastAsia="Arial" w:hAnsi="Arial"/>
          <w:sz w:val="17"/>
          <w:szCs w:val="17"/>
          <w:color w:val="auto"/>
        </w:rPr>
      </w:pPr>
    </w:p>
    <w:p>
      <w:pPr>
        <w:ind w:left="1840" w:right="779" w:hanging="218"/>
        <w:spacing w:after="0" w:line="276" w:lineRule="auto"/>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commercialize or obtain regulatory approvals for our products, or the effect of delays in commercializing or obtaining regulatory approvals;</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regulatory developments in the United States and internationally;</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develop and maintain our corporate infrastructure, including our internal controls;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40" w:right="919" w:hanging="218"/>
        <w:spacing w:after="0" w:line="276" w:lineRule="auto"/>
        <w:tabs>
          <w:tab w:leader="none" w:pos="1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establish and maintain intellectual property protection for our products, as well as our ability to operate our business without infringing the intellectual property rights of others;</w:t>
      </w:r>
    </w:p>
    <w:p>
      <w:pPr>
        <w:spacing w:after="0" w:line="63" w:lineRule="exact"/>
        <w:rPr>
          <w:rFonts w:ascii="Arial" w:cs="Arial" w:eastAsia="Arial" w:hAnsi="Arial"/>
          <w:sz w:val="17"/>
          <w:szCs w:val="17"/>
          <w:color w:val="auto"/>
        </w:rPr>
      </w:pPr>
    </w:p>
    <w:p>
      <w:pPr>
        <w:ind w:left="1840" w:hanging="218"/>
        <w:spacing w:after="0"/>
        <w:tabs>
          <w:tab w:leader="none" w:pos="1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expectations regarding the use of proceeds from our initial public offering; and</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risks and uncertainties, including those listed under the caption “Risk Factors.”</w:t>
      </w:r>
    </w:p>
    <w:p>
      <w:pPr>
        <w:spacing w:after="0" w:line="169" w:lineRule="exact"/>
        <w:rPr>
          <w:sz w:val="20"/>
          <w:szCs w:val="20"/>
          <w:color w:val="auto"/>
        </w:rPr>
      </w:pPr>
    </w:p>
    <w:p>
      <w:pPr>
        <w:ind w:left="1260" w:right="699"/>
        <w:spacing w:after="0" w:line="265" w:lineRule="auto"/>
        <w:rPr>
          <w:sz w:val="20"/>
          <w:szCs w:val="20"/>
          <w:color w:val="auto"/>
        </w:rPr>
      </w:pPr>
      <w:r>
        <w:rPr>
          <w:rFonts w:ascii="Arial" w:cs="Arial" w:eastAsia="Arial" w:hAnsi="Arial"/>
          <w:sz w:val="17"/>
          <w:szCs w:val="17"/>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Factors that may cause actual results to differ materially from current expectations include, among other things, those described under “Risk Factors” and “Item 1A. Risk Factors” in our Annual Report on Form 10-K for the year ended December 31, 2019 and our Quarterly Report on Form 10-Q for the three months ended March 31, 2020, which are incorporated by reference into this prospectus, and elsewhere in this prospectus and the documents incorporated by reference into this prospectus. Except as required by law, we undertake no obligation to publicly update any forward-looking statements, whether as a result of new information, future events or otherwise after the date of this prospectus or to reflect the occurrence of any unanticipated events. Comparisons of results for current and any prior periods are not intended to express any future trends on indications of future performance, unless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USE OF PROCEEDS</w:t>
      </w:r>
    </w:p>
    <w:p>
      <w:pPr>
        <w:spacing w:after="0" w:line="363"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We estimate that the net proceeds to us from this offering will be approximately $58.5 million (or approximately $67.3 million if the underwriters exercise in full their option to purchase up to 450,000 additional shares of our common stock), assuming a public offering price of $20.90 per share, the last reported trading price of our common stock on the Nasdaq Global Market on June 22, 2020, after deducting the estimated underwriting discounts and commissions and estimated offering expenses payable by us.</w:t>
      </w:r>
    </w:p>
    <w:p>
      <w:pPr>
        <w:spacing w:after="0" w:line="137" w:lineRule="exact"/>
        <w:rPr>
          <w:sz w:val="20"/>
          <w:szCs w:val="20"/>
          <w:color w:val="auto"/>
        </w:rPr>
      </w:pPr>
    </w:p>
    <w:p>
      <w:pPr>
        <w:ind w:left="1260" w:right="819"/>
        <w:spacing w:after="0" w:line="268" w:lineRule="auto"/>
        <w:rPr>
          <w:sz w:val="20"/>
          <w:szCs w:val="20"/>
          <w:color w:val="auto"/>
        </w:rPr>
      </w:pPr>
      <w:r>
        <w:rPr>
          <w:rFonts w:ascii="Arial" w:cs="Arial" w:eastAsia="Arial" w:hAnsi="Arial"/>
          <w:sz w:val="17"/>
          <w:szCs w:val="17"/>
          <w:color w:val="auto"/>
        </w:rPr>
        <w:t>A $1.00 increase (decrease) in the assumed public offering price of $20.90 per share, the last reported trading price of our common stock on the Nasdaq Global Market on June 22, 2020, would increase (decrease) the net proceeds to us from this offering by approximately $2.8 million, assuming the number of shares offered by us, as set forth on the cover page of this prospectus, remains the same.</w:t>
      </w:r>
    </w:p>
    <w:p>
      <w:pPr>
        <w:spacing w:after="0" w:line="139"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Similarly, an increase (decrease) of 1,000,000 shares in the number of shares offered by us would increase (decrease) the net proceeds to us from this offering by approximately $19.6 million, assuming that the assumed public offering price remains the same. We do not expect that a change in the public offering price or the number of shares by these amounts would have a material effect on our uses of the proceeds from this offering, although it may accelerate the time at which we will need to seek additional capital.</w:t>
      </w:r>
    </w:p>
    <w:p>
      <w:pPr>
        <w:spacing w:after="0" w:line="124" w:lineRule="exact"/>
        <w:rPr>
          <w:sz w:val="20"/>
          <w:szCs w:val="20"/>
          <w:color w:val="auto"/>
        </w:rPr>
      </w:pPr>
    </w:p>
    <w:p>
      <w:pPr>
        <w:ind w:left="1260" w:right="839"/>
        <w:spacing w:after="0" w:line="267" w:lineRule="auto"/>
        <w:rPr>
          <w:sz w:val="20"/>
          <w:szCs w:val="20"/>
          <w:color w:val="auto"/>
        </w:rPr>
      </w:pPr>
      <w:r>
        <w:rPr>
          <w:rFonts w:ascii="Arial" w:cs="Arial" w:eastAsia="Arial" w:hAnsi="Arial"/>
          <w:sz w:val="17"/>
          <w:szCs w:val="17"/>
          <w:color w:val="auto"/>
        </w:rPr>
        <w:t>We currently intend to use the net proceeds from this offering, together with our existing cash, cash equivalents and short-term investments, to hire additional sales and marketing personnel and expand marketing activities to support the ongoing commercialization of our OviTex and OviTex PRS product lines; to fund product development and research and development activities, which may include post-market clinical studies and IDE protocol development for our OviTex PRS products; and for working capital and general corporate purposes.</w:t>
      </w:r>
    </w:p>
    <w:p>
      <w:pPr>
        <w:spacing w:after="0" w:line="140" w:lineRule="exact"/>
        <w:rPr>
          <w:sz w:val="20"/>
          <w:szCs w:val="20"/>
          <w:color w:val="auto"/>
        </w:rPr>
      </w:pPr>
    </w:p>
    <w:p>
      <w:pPr>
        <w:jc w:val="both"/>
        <w:ind w:left="1260" w:right="839"/>
        <w:spacing w:after="0" w:line="270" w:lineRule="auto"/>
        <w:rPr>
          <w:sz w:val="20"/>
          <w:szCs w:val="20"/>
          <w:color w:val="auto"/>
        </w:rPr>
      </w:pPr>
      <w:r>
        <w:rPr>
          <w:rFonts w:ascii="Arial" w:cs="Arial" w:eastAsia="Arial" w:hAnsi="Arial"/>
          <w:sz w:val="17"/>
          <w:szCs w:val="17"/>
          <w:color w:val="auto"/>
        </w:rPr>
        <w:t>We may also use a portion of the remaining net proceeds to in-license, acquire or invest in complementary businesses, technologies, products or assets. However, we have no current commitments or obligations to do so.</w:t>
      </w:r>
    </w:p>
    <w:p>
      <w:pPr>
        <w:spacing w:after="0" w:line="137" w:lineRule="exact"/>
        <w:rPr>
          <w:sz w:val="20"/>
          <w:szCs w:val="20"/>
          <w:color w:val="auto"/>
        </w:rPr>
      </w:pPr>
    </w:p>
    <w:p>
      <w:pPr>
        <w:ind w:left="1260" w:right="799"/>
        <w:spacing w:after="0" w:line="268" w:lineRule="auto"/>
        <w:rPr>
          <w:sz w:val="20"/>
          <w:szCs w:val="20"/>
          <w:color w:val="auto"/>
        </w:rPr>
      </w:pPr>
      <w:r>
        <w:rPr>
          <w:rFonts w:ascii="Arial" w:cs="Arial" w:eastAsia="Arial" w:hAnsi="Arial"/>
          <w:sz w:val="17"/>
          <w:szCs w:val="17"/>
          <w:color w:val="auto"/>
        </w:rPr>
        <w:t>This expected use of the net proceeds from this offering represents our intentions based on our current plans and business conditions, which could change in the future as our plans and business conditions evolve. Our management will have broad discretion over the use of the net proceeds from this offering, and our investors will be relying on the judgment of our management regarding the application of the net proceeds of this offering.</w:t>
      </w:r>
    </w:p>
    <w:p>
      <w:pPr>
        <w:spacing w:after="0" w:line="124"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Pending the use of the net proceeds from this offering as described above, we intend to invest the net proceeds in a variety of capital preservation instruments, including short-term, interest-bearing obligations, investment-grade instruments, certificates of deposit or direct or guaranteed obligations of the United States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DIVIDEND POLICY</w:t>
      </w:r>
    </w:p>
    <w:p>
      <w:pPr>
        <w:spacing w:after="0" w:line="363" w:lineRule="exact"/>
        <w:rPr>
          <w:sz w:val="20"/>
          <w:szCs w:val="20"/>
          <w:color w:val="auto"/>
        </w:rPr>
      </w:pPr>
    </w:p>
    <w:p>
      <w:pPr>
        <w:ind w:left="1260" w:right="679"/>
        <w:spacing w:after="0" w:line="266" w:lineRule="auto"/>
        <w:rPr>
          <w:sz w:val="20"/>
          <w:szCs w:val="20"/>
          <w:color w:val="auto"/>
        </w:rPr>
      </w:pPr>
      <w:r>
        <w:rPr>
          <w:rFonts w:ascii="Arial" w:cs="Arial" w:eastAsia="Arial" w:hAnsi="Arial"/>
          <w:sz w:val="17"/>
          <w:szCs w:val="17"/>
          <w:color w:val="auto"/>
        </w:rPr>
        <w:t>We do not anticipate declaring or paying, in the foreseeable future, any cash dividends on our capital stock. We currently intend to retain all available funds and any future earnings, if any, to fund the development and expansion of our business. Any future determination related to dividend policy will be made at the discretion of our board of directors, subject to applicable laws, and will depend upon, among other factors, our results of operations, financial condition, contractual restrictions, capital requirements and other factors the board of directors deem relevant. In addition, our credit agreement with OrbiMed Royalty Opportunities II, LP contains covenants that restrict our ability to pay cash dividends and our ability to pay cash dividends on our capital stock in the future may be limited by the terms of any future debt or preferred securities we issue or any other credit facilities we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CAPITALIZATION</w:t>
      </w:r>
    </w:p>
    <w:p>
      <w:pPr>
        <w:spacing w:after="0" w:line="363" w:lineRule="exact"/>
        <w:rPr>
          <w:sz w:val="20"/>
          <w:szCs w:val="20"/>
          <w:color w:val="auto"/>
        </w:rPr>
      </w:pPr>
    </w:p>
    <w:p>
      <w:pPr>
        <w:ind w:left="1260" w:right="859"/>
        <w:spacing w:after="0" w:line="276" w:lineRule="auto"/>
        <w:rPr>
          <w:sz w:val="20"/>
          <w:szCs w:val="20"/>
          <w:color w:val="auto"/>
        </w:rPr>
      </w:pPr>
      <w:r>
        <w:rPr>
          <w:rFonts w:ascii="Arial" w:cs="Arial" w:eastAsia="Arial" w:hAnsi="Arial"/>
          <w:sz w:val="17"/>
          <w:szCs w:val="17"/>
          <w:color w:val="auto"/>
        </w:rPr>
        <w:t>The following table sets forth our cash, cash equivalents and short-term investments and our capitalization as of March 31, 2020:</w:t>
      </w:r>
    </w:p>
    <w:p>
      <w:pPr>
        <w:spacing w:after="0" w:line="63" w:lineRule="exact"/>
        <w:rPr>
          <w:sz w:val="20"/>
          <w:szCs w:val="20"/>
          <w:color w:val="auto"/>
        </w:rPr>
      </w:pPr>
    </w:p>
    <w:p>
      <w:pPr>
        <w:ind w:left="1840" w:hanging="218"/>
        <w:spacing w:after="0"/>
        <w:tabs>
          <w:tab w:leader="none" w:pos="1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an actual basis; and</w:t>
      </w:r>
    </w:p>
    <w:p>
      <w:pPr>
        <w:spacing w:after="0" w:line="88" w:lineRule="exact"/>
        <w:rPr>
          <w:rFonts w:ascii="Arial" w:cs="Arial" w:eastAsia="Arial" w:hAnsi="Arial"/>
          <w:sz w:val="17"/>
          <w:szCs w:val="17"/>
          <w:color w:val="auto"/>
        </w:rPr>
      </w:pPr>
    </w:p>
    <w:p>
      <w:pPr>
        <w:ind w:left="1840" w:right="839" w:hanging="218"/>
        <w:spacing w:after="0" w:line="268" w:lineRule="auto"/>
        <w:tabs>
          <w:tab w:leader="none" w:pos="1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an as adjusted basis to give effect to our issuance and sale of 3,000,000 shares of our common stock in this offering at the assumed public offering price of $20.90 per share, the last reported trading price of our common stock on the Nasdaq Global Market on June 22, 2020, and after deducting the estimated underwriting discounts and commissions and estimated offering expenses payable by us.</w:t>
      </w:r>
    </w:p>
    <w:p>
      <w:pPr>
        <w:spacing w:after="0" w:line="137" w:lineRule="exact"/>
        <w:rPr>
          <w:sz w:val="20"/>
          <w:szCs w:val="20"/>
          <w:color w:val="auto"/>
        </w:rPr>
      </w:pPr>
    </w:p>
    <w:p>
      <w:pPr>
        <w:ind w:left="1260" w:right="819"/>
        <w:spacing w:after="0" w:line="270" w:lineRule="auto"/>
        <w:rPr>
          <w:sz w:val="20"/>
          <w:szCs w:val="20"/>
          <w:color w:val="auto"/>
        </w:rPr>
      </w:pPr>
      <w:r>
        <w:rPr>
          <w:rFonts w:ascii="Arial" w:cs="Arial" w:eastAsia="Arial" w:hAnsi="Arial"/>
          <w:sz w:val="17"/>
          <w:szCs w:val="17"/>
          <w:color w:val="auto"/>
        </w:rPr>
        <w:t>You should read the information in this table together with our consolidated financial statements and the related notes incorporated by reference in this prospectus and the “Summary Consolidated Financial Data” section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107950</wp:posOffset>
            </wp:positionV>
            <wp:extent cx="52120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jc w:val="right"/>
              <w:ind w:right="115"/>
              <w:spacing w:after="0"/>
              <w:rPr>
                <w:sz w:val="20"/>
                <w:szCs w:val="20"/>
                <w:color w:val="auto"/>
              </w:rPr>
            </w:pPr>
            <w:r>
              <w:rPr>
                <w:rFonts w:ascii="Arial" w:cs="Arial" w:eastAsia="Arial" w:hAnsi="Arial"/>
                <w:sz w:val="14"/>
                <w:szCs w:val="14"/>
                <w:b w:val="1"/>
                <w:bCs w:val="1"/>
                <w:color w:val="auto"/>
              </w:rPr>
              <w:t>AS OF MARCH 31, 2020</w:t>
            </w:r>
          </w:p>
        </w:tc>
        <w:tc>
          <w:tcPr>
            <w:tcW w:w="40" w:type="dxa"/>
            <w:vAlign w:val="bottom"/>
          </w:tcPr>
          <w:p>
            <w:pPr>
              <w:spacing w:after="0"/>
              <w:rPr>
                <w:sz w:val="17"/>
                <w:szCs w:val="17"/>
                <w:color w:val="auto"/>
              </w:rPr>
            </w:pPr>
          </w:p>
        </w:tc>
      </w:tr>
      <w:tr>
        <w:trPr>
          <w:trHeight w:val="209"/>
        </w:trPr>
        <w:tc>
          <w:tcPr>
            <w:tcW w:w="6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ACTUAL</w:t>
            </w: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ADJUSTED</w:t>
            </w:r>
          </w:p>
        </w:tc>
        <w:tc>
          <w:tcPr>
            <w:tcW w:w="40" w:type="dxa"/>
            <w:vAlign w:val="bottom"/>
          </w:tcPr>
          <w:p>
            <w:pPr>
              <w:spacing w:after="0"/>
              <w:rPr>
                <w:sz w:val="18"/>
                <w:szCs w:val="18"/>
                <w:color w:val="auto"/>
              </w:rPr>
            </w:pPr>
          </w:p>
        </w:tc>
      </w:tr>
      <w:tr>
        <w:trPr>
          <w:trHeight w:val="175"/>
        </w:trPr>
        <w:tc>
          <w:tcPr>
            <w:tcW w:w="6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(UNAUDITED)</w:t>
            </w:r>
          </w:p>
        </w:tc>
      </w:tr>
      <w:tr>
        <w:trPr>
          <w:trHeight w:val="237"/>
        </w:trPr>
        <w:tc>
          <w:tcPr>
            <w:tcW w:w="6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Cash, cash equivalents and short-term investments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46,700</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105,188</w:t>
            </w:r>
          </w:p>
        </w:tc>
        <w:tc>
          <w:tcPr>
            <w:tcW w:w="40" w:type="dxa"/>
            <w:vAlign w:val="bottom"/>
          </w:tcPr>
          <w:p>
            <w:pPr>
              <w:spacing w:after="0"/>
              <w:rPr>
                <w:sz w:val="20"/>
                <w:szCs w:val="20"/>
                <w:color w:val="auto"/>
              </w:rPr>
            </w:pPr>
          </w:p>
        </w:tc>
      </w:tr>
      <w:tr>
        <w:trPr>
          <w:trHeight w:val="20"/>
        </w:trPr>
        <w:tc>
          <w:tcPr>
            <w:tcW w:w="6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5"/>
        </w:trPr>
        <w:tc>
          <w:tcPr>
            <w:tcW w:w="6240" w:type="dxa"/>
            <w:vAlign w:val="bottom"/>
            <w:gridSpan w:val="3"/>
          </w:tcPr>
          <w:p>
            <w:pPr>
              <w:spacing w:after="0"/>
              <w:rPr>
                <w:sz w:val="20"/>
                <w:szCs w:val="20"/>
                <w:color w:val="auto"/>
              </w:rPr>
            </w:pPr>
            <w:r>
              <w:rPr>
                <w:rFonts w:ascii="Arial" w:cs="Arial" w:eastAsia="Arial" w:hAnsi="Arial"/>
                <w:sz w:val="17"/>
                <w:szCs w:val="17"/>
                <w:color w:val="auto"/>
              </w:rPr>
              <w:t>Long-term debt with related party</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30,381</w:t>
            </w:r>
          </w:p>
        </w:tc>
        <w:tc>
          <w:tcPr>
            <w:tcW w:w="120" w:type="dxa"/>
            <w:vAlign w:val="bottom"/>
          </w:tcPr>
          <w:p>
            <w:pPr>
              <w:spacing w:after="0"/>
              <w:rPr>
                <w:sz w:val="18"/>
                <w:szCs w:val="18"/>
                <w:color w:val="auto"/>
              </w:rPr>
            </w:pPr>
          </w:p>
        </w:tc>
        <w:tc>
          <w:tcPr>
            <w:tcW w:w="3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30,381</w:t>
            </w:r>
          </w:p>
        </w:tc>
        <w:tc>
          <w:tcPr>
            <w:tcW w:w="40" w:type="dxa"/>
            <w:vAlign w:val="bottom"/>
          </w:tcPr>
          <w:p>
            <w:pPr>
              <w:spacing w:after="0"/>
              <w:rPr>
                <w:sz w:val="18"/>
                <w:szCs w:val="18"/>
                <w:color w:val="auto"/>
              </w:rPr>
            </w:pPr>
          </w:p>
        </w:tc>
      </w:tr>
      <w:tr>
        <w:trPr>
          <w:trHeight w:val="245"/>
        </w:trPr>
        <w:tc>
          <w:tcPr>
            <w:tcW w:w="6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26"/>
        </w:trPr>
        <w:tc>
          <w:tcPr>
            <w:tcW w:w="6240" w:type="dxa"/>
            <w:vAlign w:val="bottom"/>
            <w:gridSpan w:val="3"/>
          </w:tcPr>
          <w:p>
            <w:pPr>
              <w:ind w:left="180"/>
              <w:spacing w:after="0"/>
              <w:rPr>
                <w:sz w:val="20"/>
                <w:szCs w:val="20"/>
                <w:color w:val="auto"/>
              </w:rPr>
            </w:pPr>
            <w:r>
              <w:rPr>
                <w:rFonts w:ascii="Arial" w:cs="Arial" w:eastAsia="Arial" w:hAnsi="Arial"/>
                <w:sz w:val="17"/>
                <w:szCs w:val="17"/>
                <w:color w:val="auto"/>
              </w:rPr>
              <w:t>Preferred stock, $0.001 par value; 10,000,000 shares authorized and no</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8"/>
        </w:trPr>
        <w:tc>
          <w:tcPr>
            <w:tcW w:w="6240" w:type="dxa"/>
            <w:vAlign w:val="bottom"/>
            <w:gridSpan w:val="3"/>
          </w:tcPr>
          <w:p>
            <w:pPr>
              <w:ind w:left="340"/>
              <w:spacing w:after="0"/>
              <w:rPr>
                <w:sz w:val="20"/>
                <w:szCs w:val="20"/>
                <w:color w:val="auto"/>
              </w:rPr>
            </w:pPr>
            <w:r>
              <w:rPr>
                <w:rFonts w:ascii="Arial" w:cs="Arial" w:eastAsia="Arial" w:hAnsi="Arial"/>
                <w:sz w:val="17"/>
                <w:szCs w:val="17"/>
                <w:color w:val="auto"/>
              </w:rPr>
              <w:t>shares issued or outstanding, actual and as adjusted</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28"/>
        </w:trPr>
        <w:tc>
          <w:tcPr>
            <w:tcW w:w="62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Common stock, $0.001 par value; 200,000,000 shares authorized, actual and</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2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as adjusted; 11,407,998 shares issued and 11,407,600 shares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outstanding, actual; 14,407,998 shares issued and 14,407,600 shares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62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outstanding, as adjusted</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40" w:type="dxa"/>
            <w:vAlign w:val="bottom"/>
          </w:tcPr>
          <w:p>
            <w:pPr>
              <w:spacing w:after="0"/>
              <w:rPr>
                <w:sz w:val="19"/>
                <w:szCs w:val="19"/>
                <w:color w:val="auto"/>
              </w:rPr>
            </w:pPr>
          </w:p>
        </w:tc>
      </w:tr>
      <w:tr>
        <w:trPr>
          <w:trHeight w:val="241"/>
        </w:trPr>
        <w:tc>
          <w:tcPr>
            <w:tcW w:w="6240" w:type="dxa"/>
            <w:vAlign w:val="bottom"/>
            <w:gridSpan w:val="3"/>
          </w:tcPr>
          <w:p>
            <w:pPr>
              <w:ind w:left="180"/>
              <w:spacing w:after="0"/>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199,287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257,772</w:t>
            </w:r>
          </w:p>
        </w:tc>
        <w:tc>
          <w:tcPr>
            <w:tcW w:w="40" w:type="dxa"/>
            <w:vAlign w:val="bottom"/>
          </w:tcPr>
          <w:p>
            <w:pPr>
              <w:spacing w:after="0"/>
              <w:rPr>
                <w:sz w:val="20"/>
                <w:szCs w:val="20"/>
                <w:color w:val="auto"/>
              </w:rPr>
            </w:pPr>
          </w:p>
        </w:tc>
      </w:tr>
      <w:tr>
        <w:trPr>
          <w:trHeight w:val="245"/>
        </w:trPr>
        <w:tc>
          <w:tcPr>
            <w:tcW w:w="62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income</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40" w:type="dxa"/>
            <w:vAlign w:val="bottom"/>
          </w:tcPr>
          <w:p>
            <w:pPr>
              <w:spacing w:after="0"/>
              <w:rPr>
                <w:sz w:val="21"/>
                <w:szCs w:val="21"/>
                <w:color w:val="auto"/>
              </w:rPr>
            </w:pPr>
          </w:p>
        </w:tc>
      </w:tr>
      <w:tr>
        <w:trPr>
          <w:trHeight w:val="250"/>
        </w:trPr>
        <w:tc>
          <w:tcPr>
            <w:tcW w:w="6240" w:type="dxa"/>
            <w:vAlign w:val="bottom"/>
            <w:gridSpan w:val="3"/>
          </w:tcPr>
          <w:p>
            <w:pPr>
              <w:ind w:left="180"/>
              <w:spacing w:after="0"/>
              <w:rPr>
                <w:sz w:val="20"/>
                <w:szCs w:val="20"/>
                <w:color w:val="auto"/>
              </w:rPr>
            </w:pPr>
            <w:r>
              <w:rPr>
                <w:rFonts w:ascii="Arial" w:cs="Arial" w:eastAsia="Arial" w:hAnsi="Arial"/>
                <w:sz w:val="17"/>
                <w:szCs w:val="17"/>
                <w:color w:val="auto"/>
              </w:rPr>
              <w:t>Accumulated deficit</w:t>
            </w:r>
          </w:p>
        </w:tc>
        <w:tc>
          <w:tcPr>
            <w:tcW w:w="1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(175,079)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(175,079)</w:t>
            </w:r>
          </w:p>
        </w:tc>
      </w:tr>
      <w:tr>
        <w:trPr>
          <w:trHeight w:val="237"/>
        </w:trPr>
        <w:tc>
          <w:tcPr>
            <w:tcW w:w="6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stockholders’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82,715</w:t>
            </w:r>
          </w:p>
        </w:tc>
        <w:tc>
          <w:tcPr>
            <w:tcW w:w="40" w:type="dxa"/>
            <w:vAlign w:val="bottom"/>
          </w:tcPr>
          <w:p>
            <w:pPr>
              <w:spacing w:after="0"/>
              <w:rPr>
                <w:sz w:val="20"/>
                <w:szCs w:val="20"/>
                <w:color w:val="auto"/>
              </w:rPr>
            </w:pPr>
          </w:p>
        </w:tc>
      </w:tr>
      <w:tr>
        <w:trPr>
          <w:trHeight w:val="228"/>
        </w:trPr>
        <w:tc>
          <w:tcPr>
            <w:tcW w:w="6240" w:type="dxa"/>
            <w:vAlign w:val="bottom"/>
            <w:gridSpan w:val="3"/>
          </w:tcPr>
          <w:p>
            <w:pPr>
              <w:spacing w:after="0"/>
              <w:rPr>
                <w:sz w:val="20"/>
                <w:szCs w:val="20"/>
                <w:color w:val="auto"/>
              </w:rPr>
            </w:pPr>
            <w:r>
              <w:rPr>
                <w:rFonts w:ascii="Arial" w:cs="Arial" w:eastAsia="Arial" w:hAnsi="Arial"/>
                <w:sz w:val="17"/>
                <w:szCs w:val="17"/>
                <w:color w:val="auto"/>
              </w:rPr>
              <w:t>Total capitalization</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54,608</w:t>
            </w:r>
          </w:p>
        </w:tc>
        <w:tc>
          <w:tcPr>
            <w:tcW w:w="120" w:type="dxa"/>
            <w:vAlign w:val="bottom"/>
          </w:tcPr>
          <w:p>
            <w:pPr>
              <w:spacing w:after="0"/>
              <w:rPr>
                <w:sz w:val="19"/>
                <w:szCs w:val="19"/>
                <w:color w:val="auto"/>
              </w:rPr>
            </w:pPr>
          </w:p>
        </w:tc>
        <w:tc>
          <w:tcPr>
            <w:tcW w:w="3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113,096</w:t>
            </w:r>
          </w:p>
        </w:tc>
        <w:tc>
          <w:tcPr>
            <w:tcW w:w="4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-359410</wp:posOffset>
            </wp:positionV>
            <wp:extent cx="45688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-2271395</wp:posOffset>
            </wp:positionV>
            <wp:extent cx="1028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2" w:lineRule="exact"/>
        <w:rPr>
          <w:sz w:val="20"/>
          <w:szCs w:val="20"/>
          <w:color w:val="auto"/>
        </w:rPr>
      </w:pPr>
    </w:p>
    <w:p>
      <w:pPr>
        <w:ind w:left="1260" w:right="679"/>
        <w:spacing w:after="0" w:line="266" w:lineRule="auto"/>
        <w:rPr>
          <w:sz w:val="20"/>
          <w:szCs w:val="20"/>
          <w:color w:val="auto"/>
        </w:rPr>
      </w:pPr>
      <w:r>
        <w:rPr>
          <w:rFonts w:ascii="Arial" w:cs="Arial" w:eastAsia="Arial" w:hAnsi="Arial"/>
          <w:sz w:val="17"/>
          <w:szCs w:val="17"/>
          <w:color w:val="auto"/>
        </w:rPr>
        <w:t>The as adjusted information discussed above is illustrative only and will be adjusted based on the actual public offering price and other terms of this offering determined at pricing. A $1.00 increase (decrease) in the assumed public offering price of $20.90 per share, which is the last reported trading price of our common stock on the Nasdaq Global Market on June 22, 2020, would increase (decrease) the as adjusted amount of each of cash, cash equivalents and short-term investments, additional paid-in capital, total stockholders’ equity and total capitalization by $2.8 million, assuming that the number of shares offered by us, as set forth on the cover page of this prospectus, remains the same and after deducting the estimated underwriting discounts and commissions and estimated offering expenses payable by us.</w:t>
      </w:r>
    </w:p>
    <w:p>
      <w:pPr>
        <w:spacing w:after="0" w:line="130" w:lineRule="exact"/>
        <w:rPr>
          <w:sz w:val="20"/>
          <w:szCs w:val="20"/>
          <w:color w:val="auto"/>
        </w:rPr>
      </w:pPr>
    </w:p>
    <w:p>
      <w:pPr>
        <w:ind w:left="1260" w:right="799"/>
        <w:spacing w:after="0" w:line="266" w:lineRule="auto"/>
        <w:rPr>
          <w:sz w:val="20"/>
          <w:szCs w:val="20"/>
          <w:color w:val="auto"/>
        </w:rPr>
      </w:pPr>
      <w:r>
        <w:rPr>
          <w:rFonts w:ascii="Arial" w:cs="Arial" w:eastAsia="Arial" w:hAnsi="Arial"/>
          <w:sz w:val="17"/>
          <w:szCs w:val="17"/>
          <w:color w:val="auto"/>
        </w:rPr>
        <w:t>We may also increase or decrease the number of shares we are offering. An increase (decrease) of 1,000,000 shares in the number of shares offered by us, as set forth on the cover page of this prospectus, would increase (decrease) the as adjusted amount of each of cash, cash equivalents and short-term investments, additional paid-in capital, total stockholders’ equity and total capitalization by $19.6 million, assuming no change in the assumed public offering price per share and after deducting the estimated underwriting discounts and commissions and estimated offering expenses payable by us. The as adjusted information above is illustrative only and will be adjusted based on the actual public offering price and other terms of this offering determined at pricing.</w:t>
      </w:r>
    </w:p>
    <w:p>
      <w:pPr>
        <w:spacing w:after="0" w:line="200" w:lineRule="exact"/>
        <w:rPr>
          <w:sz w:val="20"/>
          <w:szCs w:val="20"/>
          <w:color w:val="auto"/>
        </w:rPr>
      </w:pPr>
    </w:p>
    <w:p>
      <w:pPr>
        <w:spacing w:after="0" w:line="22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table above does not include:</w:t>
      </w:r>
    </w:p>
    <w:p>
      <w:pPr>
        <w:spacing w:after="0" w:line="102" w:lineRule="exact"/>
        <w:rPr>
          <w:sz w:val="20"/>
          <w:szCs w:val="20"/>
          <w:color w:val="auto"/>
        </w:rPr>
      </w:pPr>
    </w:p>
    <w:p>
      <w:pPr>
        <w:ind w:left="1840" w:right="699" w:hanging="218"/>
        <w:spacing w:after="0" w:line="276" w:lineRule="auto"/>
        <w:tabs>
          <w:tab w:leader="none" w:pos="1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1,482,421 shares of our common stock issuable upon the exercise of stock options outstanding as of March 31, 2020, at a weighted-average exercise price of $10.61 per share;</w:t>
      </w:r>
    </w:p>
    <w:p>
      <w:pPr>
        <w:spacing w:after="0" w:line="49" w:lineRule="exact"/>
        <w:rPr>
          <w:rFonts w:ascii="Arial" w:cs="Arial" w:eastAsia="Arial" w:hAnsi="Arial"/>
          <w:sz w:val="17"/>
          <w:szCs w:val="17"/>
          <w:color w:val="auto"/>
        </w:rPr>
      </w:pPr>
    </w:p>
    <w:p>
      <w:pPr>
        <w:ind w:left="1840" w:right="1099" w:hanging="218"/>
        <w:spacing w:after="0" w:line="276" w:lineRule="auto"/>
        <w:tabs>
          <w:tab w:leader="none" w:pos="1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398 shares of our unvested common stock that are subject to repurchase by us as of March 31, 2020;</w:t>
      </w:r>
    </w:p>
    <w:p>
      <w:pPr>
        <w:spacing w:after="0" w:line="49" w:lineRule="exact"/>
        <w:rPr>
          <w:rFonts w:ascii="Arial" w:cs="Arial" w:eastAsia="Arial" w:hAnsi="Arial"/>
          <w:sz w:val="17"/>
          <w:szCs w:val="17"/>
          <w:color w:val="auto"/>
        </w:rPr>
      </w:pPr>
    </w:p>
    <w:p>
      <w:pPr>
        <w:ind w:left="1840" w:right="1279" w:hanging="218"/>
        <w:spacing w:after="0" w:line="276" w:lineRule="auto"/>
        <w:tabs>
          <w:tab w:leader="none" w:pos="1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88,556 shares of our common stock issuable upon the exercise of warrants outstanding as of March 31, 2020, at an exercise price of $28.65 per share;</w:t>
      </w:r>
    </w:p>
    <w:p>
      <w:pPr>
        <w:spacing w:after="0" w:line="63" w:lineRule="exact"/>
        <w:rPr>
          <w:rFonts w:ascii="Arial" w:cs="Arial" w:eastAsia="Arial" w:hAnsi="Arial"/>
          <w:sz w:val="17"/>
          <w:szCs w:val="17"/>
          <w:color w:val="auto"/>
        </w:rPr>
      </w:pPr>
    </w:p>
    <w:p>
      <w:pPr>
        <w:ind w:left="1840" w:right="819" w:hanging="218"/>
        <w:spacing w:after="0" w:line="268" w:lineRule="auto"/>
        <w:tabs>
          <w:tab w:leader="none" w:pos="1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259,065 shares of our common stock reserved for future issuance under the 2019 Plan as of March 31, 2020 (which does not include the 555,343 additional shares reserved for future issuance pursuant to the amendment and restatement of the 2019 Plan adopted on June 4, 2020, or any annual increases in the number of shares of our common stock reserved for future issuance pursuant to the 2019 Plan); and</w:t>
      </w:r>
    </w:p>
    <w:p>
      <w:pPr>
        <w:spacing w:after="0" w:line="56" w:lineRule="exact"/>
        <w:rPr>
          <w:rFonts w:ascii="Arial" w:cs="Arial" w:eastAsia="Arial" w:hAnsi="Arial"/>
          <w:sz w:val="17"/>
          <w:szCs w:val="17"/>
          <w:color w:val="auto"/>
        </w:rPr>
      </w:pPr>
    </w:p>
    <w:p>
      <w:pPr>
        <w:ind w:left="1840" w:right="899" w:hanging="218"/>
        <w:spacing w:after="0" w:line="270" w:lineRule="auto"/>
        <w:tabs>
          <w:tab w:leader="none" w:pos="1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107,887 shares of our common stock reserved for future issuance under the ESPP, as well as any annual increases in the number of shares of our common stock reserved for future issuance pursuant to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DILUTION</w:t>
      </w:r>
    </w:p>
    <w:p>
      <w:pPr>
        <w:spacing w:after="0" w:line="363" w:lineRule="exact"/>
        <w:rPr>
          <w:sz w:val="20"/>
          <w:szCs w:val="20"/>
          <w:color w:val="auto"/>
        </w:rPr>
      </w:pPr>
    </w:p>
    <w:p>
      <w:pPr>
        <w:jc w:val="both"/>
        <w:ind w:left="1260" w:right="759"/>
        <w:spacing w:after="0" w:line="270" w:lineRule="auto"/>
        <w:rPr>
          <w:sz w:val="20"/>
          <w:szCs w:val="20"/>
          <w:color w:val="auto"/>
        </w:rPr>
      </w:pPr>
      <w:r>
        <w:rPr>
          <w:rFonts w:ascii="Arial" w:cs="Arial" w:eastAsia="Arial" w:hAnsi="Arial"/>
          <w:sz w:val="17"/>
          <w:szCs w:val="17"/>
          <w:color w:val="auto"/>
        </w:rPr>
        <w:t>If you invest in our common stock in this offering, your ownership interest will be diluted to the extent of the difference between the public offering price per share of our common stock and the as adjusted net tangible book value per share of our common stock after this offering.</w:t>
      </w:r>
    </w:p>
    <w:p>
      <w:pPr>
        <w:spacing w:after="0" w:line="137" w:lineRule="exact"/>
        <w:rPr>
          <w:sz w:val="20"/>
          <w:szCs w:val="20"/>
          <w:color w:val="auto"/>
        </w:rPr>
      </w:pPr>
    </w:p>
    <w:p>
      <w:pPr>
        <w:ind w:left="1260" w:right="679"/>
        <w:spacing w:after="0" w:line="268" w:lineRule="auto"/>
        <w:rPr>
          <w:sz w:val="20"/>
          <w:szCs w:val="20"/>
          <w:color w:val="auto"/>
        </w:rPr>
      </w:pPr>
      <w:r>
        <w:rPr>
          <w:rFonts w:ascii="Arial" w:cs="Arial" w:eastAsia="Arial" w:hAnsi="Arial"/>
          <w:sz w:val="17"/>
          <w:szCs w:val="17"/>
          <w:color w:val="auto"/>
        </w:rPr>
        <w:t>Our historical net tangible book value as of March 31, 2020 was $21.4 million, or $1.88 per share of common stock based on 11,407,600 shares of common stock outstanding as of such date. Our historical net tangible book value represents our total tangible assets less total liabilities divided by the number of shares of our common stock outstanding as of March 31, 2020.</w:t>
      </w:r>
    </w:p>
    <w:p>
      <w:pPr>
        <w:spacing w:after="0" w:line="139" w:lineRule="exact"/>
        <w:rPr>
          <w:sz w:val="20"/>
          <w:szCs w:val="20"/>
          <w:color w:val="auto"/>
        </w:rPr>
      </w:pPr>
    </w:p>
    <w:p>
      <w:pPr>
        <w:ind w:left="1260" w:right="839"/>
        <w:spacing w:after="0" w:line="266" w:lineRule="auto"/>
        <w:rPr>
          <w:sz w:val="20"/>
          <w:szCs w:val="20"/>
          <w:color w:val="auto"/>
        </w:rPr>
      </w:pPr>
      <w:r>
        <w:rPr>
          <w:rFonts w:ascii="Arial" w:cs="Arial" w:eastAsia="Arial" w:hAnsi="Arial"/>
          <w:sz w:val="17"/>
          <w:szCs w:val="17"/>
          <w:color w:val="auto"/>
        </w:rPr>
        <w:t>After giving effect to the issuance and sale of 3,000,000 shares of common stock in this offering at the assumed public offering price of $20.90 per share, which is the last reported trading price of our common stock on the Nasdaq Global Market on June 22, 2020, and after deducting the estimated underwriting discounts and commissions and estimated offering expenses payable by us, our as adjusted net tangible book value as of March 31, 2020 would have been $79.9 million, or $5.54 per share. This represents an immediate increase in net tangible book value of $3.66 per share to our existing stockholders and an immediate dilution of $15.36 per share to new investors purchasing shares of our common stock in this offering. We determine dilution per share to new investors by subtracting our as adjusted net tangible book value per share after this offering from the public offering price per share paid by new investors in this offering.</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table illustrates this dilution on a per share basis: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Assumed public offering price per share</w:t>
            </w: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$ 20.90</w:t>
            </w:r>
          </w:p>
        </w:tc>
      </w:tr>
      <w:tr>
        <w:trPr>
          <w:trHeight w:val="241"/>
        </w:trPr>
        <w:tc>
          <w:tcPr>
            <w:tcW w:w="6980" w:type="dxa"/>
            <w:vAlign w:val="bottom"/>
          </w:tcPr>
          <w:p>
            <w:pPr>
              <w:ind w:left="180"/>
              <w:spacing w:after="0"/>
              <w:rPr>
                <w:sz w:val="20"/>
                <w:szCs w:val="20"/>
                <w:color w:val="auto"/>
              </w:rPr>
            </w:pPr>
            <w:r>
              <w:rPr>
                <w:rFonts w:ascii="Arial" w:cs="Arial" w:eastAsia="Arial" w:hAnsi="Arial"/>
                <w:sz w:val="17"/>
                <w:szCs w:val="17"/>
                <w:color w:val="auto"/>
              </w:rPr>
              <w:t>Historical net tangible book value per share as of March 31, 2020</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$1.88</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8"/>
        </w:trPr>
        <w:tc>
          <w:tcPr>
            <w:tcW w:w="6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Increase in net tangible book value per share attributable to new investors participating</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7"/>
        </w:trPr>
        <w:tc>
          <w:tcPr>
            <w:tcW w:w="6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 this offering</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r>
      <w:tr>
        <w:trPr>
          <w:trHeight w:val="236"/>
        </w:trPr>
        <w:tc>
          <w:tcPr>
            <w:tcW w:w="69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As adjusted net tangible book value per share after this offering</w:t>
            </w:r>
          </w:p>
        </w:tc>
        <w:tc>
          <w:tcPr>
            <w:tcW w:w="660" w:type="dxa"/>
            <w:vAlign w:val="bottom"/>
            <w:tcBorders>
              <w:bottom w:val="single" w:sz="8" w:color="CCEEFF"/>
            </w:tcBorders>
            <w:gridSpan w:val="2"/>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w:t>
            </w:r>
          </w:p>
        </w:tc>
      </w:tr>
      <w:tr>
        <w:trPr>
          <w:trHeight w:val="228"/>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new investors participating in this offering</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$ 15.36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8520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136" w:lineRule="exact"/>
        <w:rPr>
          <w:sz w:val="20"/>
          <w:szCs w:val="20"/>
          <w:color w:val="auto"/>
        </w:rPr>
      </w:pPr>
    </w:p>
    <w:p>
      <w:pPr>
        <w:ind w:left="1260" w:right="699"/>
        <w:spacing w:after="0" w:line="266" w:lineRule="auto"/>
        <w:rPr>
          <w:sz w:val="20"/>
          <w:szCs w:val="20"/>
          <w:color w:val="auto"/>
        </w:rPr>
      </w:pPr>
      <w:r>
        <w:rPr>
          <w:rFonts w:ascii="Arial" w:cs="Arial" w:eastAsia="Arial" w:hAnsi="Arial"/>
          <w:sz w:val="17"/>
          <w:szCs w:val="17"/>
          <w:color w:val="auto"/>
        </w:rPr>
        <w:t>The as adjusted dilution information discussed above is illustrative only and will change based on the actual public offering price and other terms of this offering determined at pricing. Each $1.00 increase (decrease) in the assumed public offering price of $20.90 per share, which is the last reported sale price of our common shares on the Nasdaq Global Market on June 22, 2020, would increase (decrease) the as adjusted net tangible book value per share after this offering by $0.20 per share and the dilution to new investors purchasing common stock in this offering by $0.80 per share, assuming the number of shares offered by us, as set forth on the cover page of this prospectus, remains the same, and after deducting the estimated underwriting discounts and commissions and estimated offering expenses payable by us.</w:t>
      </w:r>
    </w:p>
    <w:p>
      <w:pPr>
        <w:spacing w:after="0" w:line="130" w:lineRule="exact"/>
        <w:rPr>
          <w:sz w:val="20"/>
          <w:szCs w:val="20"/>
          <w:color w:val="auto"/>
        </w:rPr>
      </w:pPr>
    </w:p>
    <w:p>
      <w:pPr>
        <w:ind w:left="1260" w:right="679"/>
        <w:spacing w:after="0" w:line="266" w:lineRule="auto"/>
        <w:rPr>
          <w:sz w:val="20"/>
          <w:szCs w:val="20"/>
          <w:color w:val="auto"/>
        </w:rPr>
      </w:pPr>
      <w:r>
        <w:rPr>
          <w:rFonts w:ascii="Arial" w:cs="Arial" w:eastAsia="Arial" w:hAnsi="Arial"/>
          <w:sz w:val="17"/>
          <w:szCs w:val="17"/>
          <w:color w:val="auto"/>
        </w:rPr>
        <w:t>We may also increase or decrease the number of shares we are offering. An increase of 1,000,000 shares in the number of shares offered by us would increase the as adjusted net tangible book value per share after this offering by $0.92 and decrease the dilution per share to new investors participating in this offering by $0.92, assuming no change in the assumed public offering price and after deducting the estimated underwriting discounts and commissions and estimated offering expenses payable by us. A decrease of 1,000,000 shares in the number of shares offered by us would decrease the as adjusted net tangible book value per share after this offering by $1.05 and increase the dilution per share to new investors participating in this offering by $1.05, assuming no change in the assumed public offering price and after deducting the estimated underwriting discounts and commissions and estimated offering expenses payable by us.</w:t>
      </w:r>
    </w:p>
    <w:p>
      <w:pPr>
        <w:spacing w:after="0" w:line="143"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If the underwriters exercise in full their option to purchase up to 450,000 additional shares of common stock, the as adjusted net tangible book value per share after giving effect to this offering would be $5.97 per share, representing an immediate increase to existing stockholders of $4.09 per share and immediate dilution to new investors participating in this offering of $14.93 per share, based on assumed public offering price of $20.90, which is the last reported trading price of our common stock on the Nasdaq Global Market</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699"/>
        <w:spacing w:after="0" w:line="276" w:lineRule="auto"/>
        <w:rPr>
          <w:sz w:val="20"/>
          <w:szCs w:val="20"/>
          <w:color w:val="auto"/>
        </w:rPr>
      </w:pPr>
      <w:r>
        <w:rPr>
          <w:rFonts w:ascii="Arial" w:cs="Arial" w:eastAsia="Arial" w:hAnsi="Arial"/>
          <w:sz w:val="17"/>
          <w:szCs w:val="17"/>
          <w:color w:val="auto"/>
        </w:rPr>
        <w:t>on June 22, 2020, and after deducting the estimated underwriting discounts and commissions and estimated offering expenses payable by us.</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foregoing discussion and tables are based on 11,407,600 shares of common stock outstanding as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March 31, 2020, and excludes:</w:t>
      </w:r>
    </w:p>
    <w:p>
      <w:pPr>
        <w:spacing w:after="0" w:line="88" w:lineRule="exact"/>
        <w:rPr>
          <w:sz w:val="20"/>
          <w:szCs w:val="20"/>
          <w:color w:val="auto"/>
        </w:rPr>
      </w:pPr>
    </w:p>
    <w:p>
      <w:pPr>
        <w:ind w:left="1840" w:right="699" w:hanging="218"/>
        <w:spacing w:after="0" w:line="276" w:lineRule="auto"/>
        <w:tabs>
          <w:tab w:leader="none" w:pos="1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1,482,421 shares of our common stock issuable upon the exercise of stock options outstanding as of March 31, 2020, at a weighted-average exercise price of $10.61 per share;</w:t>
      </w:r>
    </w:p>
    <w:p>
      <w:pPr>
        <w:spacing w:after="0" w:line="63" w:lineRule="exact"/>
        <w:rPr>
          <w:rFonts w:ascii="Arial" w:cs="Arial" w:eastAsia="Arial" w:hAnsi="Arial"/>
          <w:sz w:val="17"/>
          <w:szCs w:val="17"/>
          <w:color w:val="auto"/>
        </w:rPr>
      </w:pPr>
    </w:p>
    <w:p>
      <w:pPr>
        <w:ind w:left="1840" w:right="1099" w:hanging="218"/>
        <w:spacing w:after="0" w:line="276" w:lineRule="auto"/>
        <w:tabs>
          <w:tab w:leader="none" w:pos="1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398 shares of our unvested common stock that are subject to repurchase by us as of March 31, 2020;</w:t>
      </w:r>
    </w:p>
    <w:p>
      <w:pPr>
        <w:spacing w:after="0" w:line="49" w:lineRule="exact"/>
        <w:rPr>
          <w:rFonts w:ascii="Arial" w:cs="Arial" w:eastAsia="Arial" w:hAnsi="Arial"/>
          <w:sz w:val="17"/>
          <w:szCs w:val="17"/>
          <w:color w:val="auto"/>
        </w:rPr>
      </w:pPr>
    </w:p>
    <w:p>
      <w:pPr>
        <w:ind w:left="1840" w:right="1279" w:hanging="218"/>
        <w:spacing w:after="0" w:line="276" w:lineRule="auto"/>
        <w:tabs>
          <w:tab w:leader="none" w:pos="1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88,556 shares of our common stock issuable upon the exercise of warrants outstanding as of March 31, 2020, at an exercise price of $28.65 per share;</w:t>
      </w:r>
    </w:p>
    <w:p>
      <w:pPr>
        <w:spacing w:after="0" w:line="49" w:lineRule="exact"/>
        <w:rPr>
          <w:rFonts w:ascii="Arial" w:cs="Arial" w:eastAsia="Arial" w:hAnsi="Arial"/>
          <w:sz w:val="17"/>
          <w:szCs w:val="17"/>
          <w:color w:val="auto"/>
        </w:rPr>
      </w:pPr>
    </w:p>
    <w:p>
      <w:pPr>
        <w:ind w:left="1840" w:right="819" w:hanging="218"/>
        <w:spacing w:after="0" w:line="268" w:lineRule="auto"/>
        <w:tabs>
          <w:tab w:leader="none" w:pos="1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259,065 shares of our common stock reserved for future issuance under the 2019 Plan as of March 31, 2020 (which does not include the 555,343 additional shares reserved for future issuance pursuant to the amendment and restatement of the 2019 Plan adopted on June 4, 2020, or any annual increases in the number of shares of our common stock reserved for future issuance pursuant to the 2019 Plan); and</w:t>
      </w:r>
    </w:p>
    <w:p>
      <w:pPr>
        <w:spacing w:after="0" w:line="69" w:lineRule="exact"/>
        <w:rPr>
          <w:rFonts w:ascii="Arial" w:cs="Arial" w:eastAsia="Arial" w:hAnsi="Arial"/>
          <w:sz w:val="17"/>
          <w:szCs w:val="17"/>
          <w:color w:val="auto"/>
        </w:rPr>
      </w:pPr>
    </w:p>
    <w:p>
      <w:pPr>
        <w:ind w:left="1840" w:right="899" w:hanging="218"/>
        <w:spacing w:after="0" w:line="270" w:lineRule="auto"/>
        <w:tabs>
          <w:tab w:leader="none" w:pos="1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107,887 shares of our common stock reserved for future issuance under the ESPP, as well as any annual increases in the number of shares of our common stock reserved for future issuance pursuant to the ESPP.</w:t>
      </w:r>
    </w:p>
    <w:p>
      <w:pPr>
        <w:spacing w:after="0" w:line="123" w:lineRule="exact"/>
        <w:rPr>
          <w:sz w:val="20"/>
          <w:szCs w:val="20"/>
          <w:color w:val="auto"/>
        </w:rPr>
      </w:pPr>
    </w:p>
    <w:p>
      <w:pPr>
        <w:ind w:left="1260" w:right="719"/>
        <w:spacing w:after="0" w:line="267" w:lineRule="auto"/>
        <w:rPr>
          <w:sz w:val="20"/>
          <w:szCs w:val="20"/>
          <w:color w:val="auto"/>
        </w:rPr>
      </w:pPr>
      <w:r>
        <w:rPr>
          <w:rFonts w:ascii="Arial" w:cs="Arial" w:eastAsia="Arial" w:hAnsi="Arial"/>
          <w:sz w:val="17"/>
          <w:szCs w:val="17"/>
          <w:color w:val="auto"/>
        </w:rPr>
        <w:t>To the extent that stock options are exercised, new stock options are issued under our stock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MANAGEMENT</w:t>
      </w:r>
    </w:p>
    <w:p>
      <w:pPr>
        <w:spacing w:after="0" w:line="350" w:lineRule="exact"/>
        <w:rPr>
          <w:sz w:val="20"/>
          <w:szCs w:val="20"/>
          <w:color w:val="auto"/>
        </w:rPr>
      </w:pPr>
    </w:p>
    <w:p>
      <w:pPr>
        <w:ind w:left="1260" w:right="679"/>
        <w:spacing w:after="0" w:line="259" w:lineRule="auto"/>
        <w:rPr>
          <w:sz w:val="20"/>
          <w:szCs w:val="20"/>
          <w:color w:val="auto"/>
        </w:rPr>
      </w:pPr>
      <w:r>
        <w:rPr>
          <w:rFonts w:ascii="Arial" w:cs="Arial" w:eastAsia="Arial" w:hAnsi="Arial"/>
          <w:sz w:val="17"/>
          <w:szCs w:val="17"/>
          <w:color w:val="auto"/>
        </w:rPr>
        <w:t>The following table sets forth the name, age and position of each of our directors and executive officers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113030</wp:posOffset>
            </wp:positionV>
            <wp:extent cx="52120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8"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7"/>
                <w:szCs w:val="17"/>
                <w:color w:val="auto"/>
              </w:rPr>
            </w:pPr>
          </w:p>
        </w:tc>
        <w:tc>
          <w:tcPr>
            <w:tcW w:w="324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POSITION</w:t>
            </w:r>
          </w:p>
        </w:tc>
        <w:tc>
          <w:tcPr>
            <w:tcW w:w="1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 AND TERM</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r>
      <w:tr>
        <w:trPr>
          <w:trHeight w:val="229"/>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Antony Koblish</w:t>
            </w:r>
          </w:p>
        </w:tc>
        <w:tc>
          <w:tcPr>
            <w:tcW w:w="34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99"/>
              </w:rPr>
              <w:t>President, Chief Executive Officer, Director</w:t>
            </w:r>
          </w:p>
        </w:tc>
        <w:tc>
          <w:tcPr>
            <w:tcW w:w="16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Class II – 2021</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54</w:t>
            </w:r>
          </w:p>
        </w:tc>
      </w:tr>
      <w:tr>
        <w:trPr>
          <w:trHeight w:val="241"/>
        </w:trPr>
        <w:tc>
          <w:tcPr>
            <w:tcW w:w="2780" w:type="dxa"/>
            <w:vAlign w:val="bottom"/>
          </w:tcPr>
          <w:p>
            <w:pPr>
              <w:spacing w:after="0"/>
              <w:rPr>
                <w:sz w:val="20"/>
                <w:szCs w:val="20"/>
                <w:color w:val="auto"/>
              </w:rPr>
            </w:pPr>
            <w:r>
              <w:rPr>
                <w:rFonts w:ascii="Arial" w:cs="Arial" w:eastAsia="Arial" w:hAnsi="Arial"/>
                <w:sz w:val="17"/>
                <w:szCs w:val="17"/>
                <w:color w:val="auto"/>
              </w:rPr>
              <w:t>Lisa Colleran</w:t>
            </w:r>
          </w:p>
        </w:tc>
        <w:tc>
          <w:tcPr>
            <w:tcW w:w="3440" w:type="dxa"/>
            <w:vAlign w:val="bottom"/>
            <w:gridSpan w:val="2"/>
          </w:tcPr>
          <w:p>
            <w:pPr>
              <w:ind w:left="200"/>
              <w:spacing w:after="0"/>
              <w:rPr>
                <w:sz w:val="20"/>
                <w:szCs w:val="20"/>
                <w:color w:val="auto"/>
              </w:rPr>
            </w:pPr>
            <w:r>
              <w:rPr>
                <w:rFonts w:ascii="Arial" w:cs="Arial" w:eastAsia="Arial" w:hAnsi="Arial"/>
                <w:sz w:val="17"/>
                <w:szCs w:val="17"/>
                <w:color w:val="auto"/>
              </w:rPr>
              <w:t>Director</w:t>
            </w:r>
          </w:p>
        </w:tc>
        <w:tc>
          <w:tcPr>
            <w:tcW w:w="1660" w:type="dxa"/>
            <w:vAlign w:val="bottom"/>
            <w:gridSpan w:val="3"/>
          </w:tcPr>
          <w:p>
            <w:pPr>
              <w:ind w:left="180"/>
              <w:spacing w:after="0"/>
              <w:rPr>
                <w:sz w:val="20"/>
                <w:szCs w:val="20"/>
                <w:color w:val="auto"/>
              </w:rPr>
            </w:pPr>
            <w:r>
              <w:rPr>
                <w:rFonts w:ascii="Arial" w:cs="Arial" w:eastAsia="Arial" w:hAnsi="Arial"/>
                <w:sz w:val="17"/>
                <w:szCs w:val="17"/>
                <w:color w:val="auto"/>
              </w:rPr>
              <w:t>Class I – 2023</w:t>
            </w:r>
          </w:p>
        </w:tc>
        <w:tc>
          <w:tcPr>
            <w:tcW w:w="340" w:type="dxa"/>
            <w:vAlign w:val="bottom"/>
          </w:tcPr>
          <w:p>
            <w:pPr>
              <w:jc w:val="center"/>
              <w:spacing w:after="0"/>
              <w:rPr>
                <w:sz w:val="20"/>
                <w:szCs w:val="20"/>
                <w:color w:val="auto"/>
              </w:rPr>
            </w:pPr>
            <w:r>
              <w:rPr>
                <w:rFonts w:ascii="Arial" w:cs="Arial" w:eastAsia="Arial" w:hAnsi="Arial"/>
                <w:sz w:val="17"/>
                <w:szCs w:val="17"/>
                <w:color w:val="auto"/>
              </w:rPr>
              <w:t>62</w:t>
            </w:r>
          </w:p>
        </w:tc>
      </w:tr>
      <w:tr>
        <w:trPr>
          <w:trHeight w:val="245"/>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Doug Evans</w:t>
            </w:r>
          </w:p>
        </w:tc>
        <w:tc>
          <w:tcPr>
            <w:tcW w:w="34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Director</w:t>
            </w:r>
          </w:p>
        </w:tc>
        <w:tc>
          <w:tcPr>
            <w:tcW w:w="16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Class I – 2023</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55</w:t>
            </w:r>
          </w:p>
        </w:tc>
      </w:tr>
      <w:tr>
        <w:trPr>
          <w:trHeight w:val="241"/>
        </w:trPr>
        <w:tc>
          <w:tcPr>
            <w:tcW w:w="2780" w:type="dxa"/>
            <w:vAlign w:val="bottom"/>
          </w:tcPr>
          <w:p>
            <w:pPr>
              <w:spacing w:after="0"/>
              <w:rPr>
                <w:sz w:val="20"/>
                <w:szCs w:val="20"/>
                <w:color w:val="auto"/>
              </w:rPr>
            </w:pPr>
            <w:r>
              <w:rPr>
                <w:rFonts w:ascii="Arial" w:cs="Arial" w:eastAsia="Arial" w:hAnsi="Arial"/>
                <w:sz w:val="17"/>
                <w:szCs w:val="17"/>
                <w:color w:val="auto"/>
              </w:rPr>
              <w:t>Kurt Azarbarzin</w:t>
            </w:r>
          </w:p>
        </w:tc>
        <w:tc>
          <w:tcPr>
            <w:tcW w:w="3440" w:type="dxa"/>
            <w:vAlign w:val="bottom"/>
            <w:gridSpan w:val="2"/>
          </w:tcPr>
          <w:p>
            <w:pPr>
              <w:ind w:left="200"/>
              <w:spacing w:after="0"/>
              <w:rPr>
                <w:sz w:val="20"/>
                <w:szCs w:val="20"/>
                <w:color w:val="auto"/>
              </w:rPr>
            </w:pPr>
            <w:r>
              <w:rPr>
                <w:rFonts w:ascii="Arial" w:cs="Arial" w:eastAsia="Arial" w:hAnsi="Arial"/>
                <w:sz w:val="17"/>
                <w:szCs w:val="17"/>
                <w:color w:val="auto"/>
              </w:rPr>
              <w:t>Director</w:t>
            </w:r>
          </w:p>
        </w:tc>
        <w:tc>
          <w:tcPr>
            <w:tcW w:w="1660" w:type="dxa"/>
            <w:vAlign w:val="bottom"/>
            <w:gridSpan w:val="3"/>
          </w:tcPr>
          <w:p>
            <w:pPr>
              <w:ind w:left="180"/>
              <w:spacing w:after="0"/>
              <w:rPr>
                <w:sz w:val="20"/>
                <w:szCs w:val="20"/>
                <w:color w:val="auto"/>
              </w:rPr>
            </w:pPr>
            <w:r>
              <w:rPr>
                <w:rFonts w:ascii="Arial" w:cs="Arial" w:eastAsia="Arial" w:hAnsi="Arial"/>
                <w:sz w:val="17"/>
                <w:szCs w:val="17"/>
                <w:color w:val="auto"/>
              </w:rPr>
              <w:t>Class II – 2021</w:t>
            </w:r>
          </w:p>
        </w:tc>
        <w:tc>
          <w:tcPr>
            <w:tcW w:w="340" w:type="dxa"/>
            <w:vAlign w:val="bottom"/>
          </w:tcPr>
          <w:p>
            <w:pPr>
              <w:jc w:val="center"/>
              <w:spacing w:after="0"/>
              <w:rPr>
                <w:sz w:val="20"/>
                <w:szCs w:val="20"/>
                <w:color w:val="auto"/>
              </w:rPr>
            </w:pPr>
            <w:r>
              <w:rPr>
                <w:rFonts w:ascii="Arial" w:cs="Arial" w:eastAsia="Arial" w:hAnsi="Arial"/>
                <w:sz w:val="17"/>
                <w:szCs w:val="17"/>
                <w:color w:val="auto"/>
              </w:rPr>
              <w:t>58</w:t>
            </w:r>
          </w:p>
        </w:tc>
      </w:tr>
      <w:tr>
        <w:trPr>
          <w:trHeight w:val="245"/>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Adele Oliva</w:t>
            </w:r>
          </w:p>
        </w:tc>
        <w:tc>
          <w:tcPr>
            <w:tcW w:w="34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Director</w:t>
            </w:r>
          </w:p>
        </w:tc>
        <w:tc>
          <w:tcPr>
            <w:tcW w:w="16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Class II – 2021</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54</w:t>
            </w:r>
          </w:p>
        </w:tc>
      </w:tr>
      <w:tr>
        <w:trPr>
          <w:trHeight w:val="241"/>
        </w:trPr>
        <w:tc>
          <w:tcPr>
            <w:tcW w:w="2780" w:type="dxa"/>
            <w:vAlign w:val="bottom"/>
          </w:tcPr>
          <w:p>
            <w:pPr>
              <w:spacing w:after="0"/>
              <w:rPr>
                <w:sz w:val="20"/>
                <w:szCs w:val="20"/>
                <w:color w:val="auto"/>
              </w:rPr>
            </w:pPr>
            <w:r>
              <w:rPr>
                <w:rFonts w:ascii="Arial" w:cs="Arial" w:eastAsia="Arial" w:hAnsi="Arial"/>
                <w:sz w:val="17"/>
                <w:szCs w:val="17"/>
                <w:color w:val="auto"/>
              </w:rPr>
              <w:t>Vince Burgess</w:t>
            </w:r>
          </w:p>
        </w:tc>
        <w:tc>
          <w:tcPr>
            <w:tcW w:w="3440" w:type="dxa"/>
            <w:vAlign w:val="bottom"/>
            <w:gridSpan w:val="2"/>
          </w:tcPr>
          <w:p>
            <w:pPr>
              <w:ind w:left="200"/>
              <w:spacing w:after="0"/>
              <w:rPr>
                <w:sz w:val="20"/>
                <w:szCs w:val="20"/>
                <w:color w:val="auto"/>
              </w:rPr>
            </w:pPr>
            <w:r>
              <w:rPr>
                <w:rFonts w:ascii="Arial" w:cs="Arial" w:eastAsia="Arial" w:hAnsi="Arial"/>
                <w:sz w:val="17"/>
                <w:szCs w:val="17"/>
                <w:color w:val="auto"/>
              </w:rPr>
              <w:t>Director</w:t>
            </w:r>
          </w:p>
        </w:tc>
        <w:tc>
          <w:tcPr>
            <w:tcW w:w="1660" w:type="dxa"/>
            <w:vAlign w:val="bottom"/>
            <w:gridSpan w:val="3"/>
          </w:tcPr>
          <w:p>
            <w:pPr>
              <w:ind w:left="180"/>
              <w:spacing w:after="0"/>
              <w:rPr>
                <w:sz w:val="20"/>
                <w:szCs w:val="20"/>
                <w:color w:val="auto"/>
              </w:rPr>
            </w:pPr>
            <w:r>
              <w:rPr>
                <w:rFonts w:ascii="Arial" w:cs="Arial" w:eastAsia="Arial" w:hAnsi="Arial"/>
                <w:sz w:val="17"/>
                <w:szCs w:val="17"/>
                <w:color w:val="auto"/>
              </w:rPr>
              <w:t>Class III – 2022</w:t>
            </w:r>
          </w:p>
        </w:tc>
        <w:tc>
          <w:tcPr>
            <w:tcW w:w="340" w:type="dxa"/>
            <w:vAlign w:val="bottom"/>
          </w:tcPr>
          <w:p>
            <w:pPr>
              <w:jc w:val="center"/>
              <w:spacing w:after="0"/>
              <w:rPr>
                <w:sz w:val="20"/>
                <w:szCs w:val="20"/>
                <w:color w:val="auto"/>
              </w:rPr>
            </w:pPr>
            <w:r>
              <w:rPr>
                <w:rFonts w:ascii="Arial" w:cs="Arial" w:eastAsia="Arial" w:hAnsi="Arial"/>
                <w:sz w:val="17"/>
                <w:szCs w:val="17"/>
                <w:color w:val="auto"/>
              </w:rPr>
              <w:t>55</w:t>
            </w:r>
          </w:p>
        </w:tc>
      </w:tr>
      <w:tr>
        <w:trPr>
          <w:trHeight w:val="245"/>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Federica O’Brien</w:t>
            </w:r>
          </w:p>
        </w:tc>
        <w:tc>
          <w:tcPr>
            <w:tcW w:w="34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Director</w:t>
            </w:r>
          </w:p>
        </w:tc>
        <w:tc>
          <w:tcPr>
            <w:tcW w:w="16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Class III – 2022</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62</w:t>
            </w:r>
          </w:p>
        </w:tc>
      </w:tr>
      <w:tr>
        <w:trPr>
          <w:trHeight w:val="241"/>
        </w:trPr>
        <w:tc>
          <w:tcPr>
            <w:tcW w:w="2780" w:type="dxa"/>
            <w:vAlign w:val="bottom"/>
          </w:tcPr>
          <w:p>
            <w:pPr>
              <w:spacing w:after="0"/>
              <w:rPr>
                <w:sz w:val="20"/>
                <w:szCs w:val="20"/>
                <w:color w:val="auto"/>
              </w:rPr>
            </w:pPr>
            <w:r>
              <w:rPr>
                <w:rFonts w:ascii="Arial" w:cs="Arial" w:eastAsia="Arial" w:hAnsi="Arial"/>
                <w:sz w:val="17"/>
                <w:szCs w:val="17"/>
                <w:color w:val="auto"/>
              </w:rPr>
              <w:t>Nora Brennan</w:t>
            </w:r>
          </w:p>
        </w:tc>
        <w:tc>
          <w:tcPr>
            <w:tcW w:w="3440" w:type="dxa"/>
            <w:vAlign w:val="bottom"/>
            <w:gridSpan w:val="2"/>
          </w:tcPr>
          <w:p>
            <w:pPr>
              <w:ind w:left="200"/>
              <w:spacing w:after="0"/>
              <w:rPr>
                <w:sz w:val="20"/>
                <w:szCs w:val="20"/>
                <w:color w:val="auto"/>
              </w:rPr>
            </w:pPr>
            <w:r>
              <w:rPr>
                <w:rFonts w:ascii="Arial" w:cs="Arial" w:eastAsia="Arial" w:hAnsi="Arial"/>
                <w:sz w:val="17"/>
                <w:szCs w:val="17"/>
                <w:color w:val="auto"/>
              </w:rPr>
              <w:t>Chief Financial Officer</w:t>
            </w:r>
          </w:p>
        </w:tc>
        <w:tc>
          <w:tcPr>
            <w:tcW w:w="1660" w:type="dxa"/>
            <w:vAlign w:val="bottom"/>
            <w:gridSpan w:val="3"/>
          </w:tcPr>
          <w:p>
            <w:pPr>
              <w:ind w:left="180"/>
              <w:spacing w:after="0"/>
              <w:rPr>
                <w:sz w:val="20"/>
                <w:szCs w:val="20"/>
                <w:color w:val="auto"/>
              </w:rPr>
            </w:pPr>
            <w:r>
              <w:rPr>
                <w:rFonts w:ascii="Arial" w:cs="Arial" w:eastAsia="Arial" w:hAnsi="Arial"/>
                <w:sz w:val="17"/>
                <w:szCs w:val="17"/>
                <w:color w:val="auto"/>
              </w:rPr>
              <w:t>—</w:t>
            </w:r>
          </w:p>
        </w:tc>
        <w:tc>
          <w:tcPr>
            <w:tcW w:w="340" w:type="dxa"/>
            <w:vAlign w:val="bottom"/>
          </w:tcPr>
          <w:p>
            <w:pPr>
              <w:jc w:val="center"/>
              <w:spacing w:after="0"/>
              <w:rPr>
                <w:sz w:val="20"/>
                <w:szCs w:val="20"/>
                <w:color w:val="auto"/>
              </w:rPr>
            </w:pPr>
            <w:r>
              <w:rPr>
                <w:rFonts w:ascii="Arial" w:cs="Arial" w:eastAsia="Arial" w:hAnsi="Arial"/>
                <w:sz w:val="17"/>
                <w:szCs w:val="17"/>
                <w:color w:val="auto"/>
              </w:rPr>
              <w:t>51</w:t>
            </w:r>
          </w:p>
        </w:tc>
      </w:tr>
      <w:tr>
        <w:trPr>
          <w:trHeight w:val="245"/>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Maarten Persenaire, MD</w:t>
            </w:r>
          </w:p>
        </w:tc>
        <w:tc>
          <w:tcPr>
            <w:tcW w:w="34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Chief Medical Officer</w:t>
            </w:r>
          </w:p>
        </w:tc>
        <w:tc>
          <w:tcPr>
            <w:tcW w:w="16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63</w:t>
            </w:r>
          </w:p>
        </w:tc>
      </w:tr>
      <w:tr>
        <w:trPr>
          <w:trHeight w:val="241"/>
        </w:trPr>
        <w:tc>
          <w:tcPr>
            <w:tcW w:w="2780" w:type="dxa"/>
            <w:vAlign w:val="bottom"/>
          </w:tcPr>
          <w:p>
            <w:pPr>
              <w:spacing w:after="0"/>
              <w:rPr>
                <w:sz w:val="20"/>
                <w:szCs w:val="20"/>
                <w:color w:val="auto"/>
              </w:rPr>
            </w:pPr>
            <w:r>
              <w:rPr>
                <w:rFonts w:ascii="Arial" w:cs="Arial" w:eastAsia="Arial" w:hAnsi="Arial"/>
                <w:sz w:val="17"/>
                <w:szCs w:val="17"/>
                <w:color w:val="auto"/>
              </w:rPr>
              <w:t>E. Skott Greenhalgh, PhD</w:t>
            </w:r>
          </w:p>
        </w:tc>
        <w:tc>
          <w:tcPr>
            <w:tcW w:w="3440" w:type="dxa"/>
            <w:vAlign w:val="bottom"/>
            <w:gridSpan w:val="2"/>
          </w:tcPr>
          <w:p>
            <w:pPr>
              <w:ind w:left="200"/>
              <w:spacing w:after="0"/>
              <w:rPr>
                <w:sz w:val="20"/>
                <w:szCs w:val="20"/>
                <w:color w:val="auto"/>
              </w:rPr>
            </w:pPr>
            <w:r>
              <w:rPr>
                <w:rFonts w:ascii="Arial" w:cs="Arial" w:eastAsia="Arial" w:hAnsi="Arial"/>
                <w:sz w:val="17"/>
                <w:szCs w:val="17"/>
                <w:color w:val="auto"/>
              </w:rPr>
              <w:t>Chief Technology Officer</w:t>
            </w:r>
          </w:p>
        </w:tc>
        <w:tc>
          <w:tcPr>
            <w:tcW w:w="1660" w:type="dxa"/>
            <w:vAlign w:val="bottom"/>
            <w:gridSpan w:val="3"/>
          </w:tcPr>
          <w:p>
            <w:pPr>
              <w:ind w:left="180"/>
              <w:spacing w:after="0"/>
              <w:rPr>
                <w:sz w:val="20"/>
                <w:szCs w:val="20"/>
                <w:color w:val="auto"/>
              </w:rPr>
            </w:pPr>
            <w:r>
              <w:rPr>
                <w:rFonts w:ascii="Arial" w:cs="Arial" w:eastAsia="Arial" w:hAnsi="Arial"/>
                <w:sz w:val="17"/>
                <w:szCs w:val="17"/>
                <w:color w:val="auto"/>
              </w:rPr>
              <w:t>—</w:t>
            </w:r>
          </w:p>
        </w:tc>
        <w:tc>
          <w:tcPr>
            <w:tcW w:w="340" w:type="dxa"/>
            <w:vAlign w:val="bottom"/>
          </w:tcPr>
          <w:p>
            <w:pPr>
              <w:jc w:val="center"/>
              <w:spacing w:after="0"/>
              <w:rPr>
                <w:sz w:val="20"/>
                <w:szCs w:val="20"/>
                <w:color w:val="auto"/>
              </w:rPr>
            </w:pPr>
            <w:r>
              <w:rPr>
                <w:rFonts w:ascii="Arial" w:cs="Arial" w:eastAsia="Arial" w:hAnsi="Arial"/>
                <w:sz w:val="17"/>
                <w:szCs w:val="17"/>
                <w:color w:val="auto"/>
              </w:rPr>
              <w:t>52</w:t>
            </w:r>
          </w:p>
        </w:tc>
      </w:tr>
      <w:tr>
        <w:trPr>
          <w:trHeight w:val="241"/>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Peter Murphy</w:t>
            </w:r>
          </w:p>
        </w:tc>
        <w:tc>
          <w:tcPr>
            <w:tcW w:w="34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Chief Commercial Officer</w:t>
            </w:r>
          </w:p>
        </w:tc>
        <w:tc>
          <w:tcPr>
            <w:tcW w:w="16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48</w:t>
            </w:r>
          </w:p>
        </w:tc>
      </w:tr>
      <w:tr>
        <w:trPr>
          <w:trHeight w:val="139"/>
        </w:trPr>
        <w:tc>
          <w:tcPr>
            <w:tcW w:w="27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32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-1790700</wp:posOffset>
            </wp:positionV>
            <wp:extent cx="120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-1790700</wp:posOffset>
            </wp:positionV>
            <wp:extent cx="120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-1790700</wp:posOffset>
            </wp:positionV>
            <wp:extent cx="120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9" w:lineRule="exact"/>
        <w:rPr>
          <w:sz w:val="20"/>
          <w:szCs w:val="20"/>
          <w:color w:val="auto"/>
        </w:rPr>
      </w:pPr>
    </w:p>
    <w:p>
      <w:pPr>
        <w:ind w:left="1260" w:right="719"/>
        <w:spacing w:after="0" w:line="251" w:lineRule="auto"/>
        <w:rPr>
          <w:sz w:val="20"/>
          <w:szCs w:val="20"/>
          <w:color w:val="auto"/>
        </w:rPr>
      </w:pPr>
      <w:r>
        <w:rPr>
          <w:rFonts w:ascii="Arial" w:cs="Arial" w:eastAsia="Arial" w:hAnsi="Arial"/>
          <w:sz w:val="17"/>
          <w:szCs w:val="17"/>
          <w:b w:val="1"/>
          <w:bCs w:val="1"/>
          <w:i w:val="1"/>
          <w:iCs w:val="1"/>
          <w:color w:val="auto"/>
        </w:rPr>
        <w:t xml:space="preserve">Antony Koblish </w:t>
      </w:r>
      <w:r>
        <w:rPr>
          <w:rFonts w:ascii="Arial" w:cs="Arial" w:eastAsia="Arial" w:hAnsi="Arial"/>
          <w:sz w:val="17"/>
          <w:szCs w:val="17"/>
          <w:color w:val="auto"/>
        </w:rPr>
        <w:t>is one of our co-founders and has served as our President and Chief Executive Officer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member of the Board since our founding in April 2012. Previously, Mr. Koblish was President and Chief Executive Officer of Orthovita, Inc., a publicly traded orthobiologics and biosurgery medical device company. Mr. Koblish co-founded and currently serves as Chairman of the Board of Onkos Surgical, a surgical oncology company, and is an operating partner with 1315 Capital, a private investment firm that provides expansion and growth capital to commercial-stage specialty pharmaceutical, medical technology, and health care services companies. Mr. Koblish also serves as the Chairman of the Board of Cerapedics, a private ortho-biologics company. As Chairman of the Board of Cerapedics and Onkos Surgical, Mr. Koblish attends one board meeting per quarter, respectively, and as an operating partner for 1315 Capital, Mr. Koblish attends one to two meetings per quarter. The remainder of Mr. Koblish’s time is dedicated to serving as our Chief Executive Officer. Mr. Koblish earned a Master of Science in Engineering degree in Mechanical Engineering and Applied Mechanics from the University of Pennsylvania, and holds a Bachelor of Science degree in Mechanical Engineering from Worcester Polytechnic Institute.</w:t>
      </w:r>
    </w:p>
    <w:p>
      <w:pPr>
        <w:spacing w:after="0" w:line="110" w:lineRule="exact"/>
        <w:rPr>
          <w:sz w:val="20"/>
          <w:szCs w:val="20"/>
          <w:color w:val="auto"/>
        </w:rPr>
      </w:pPr>
    </w:p>
    <w:p>
      <w:pPr>
        <w:ind w:left="1260" w:right="719"/>
        <w:spacing w:after="0" w:line="253" w:lineRule="auto"/>
        <w:rPr>
          <w:sz w:val="20"/>
          <w:szCs w:val="20"/>
          <w:color w:val="auto"/>
        </w:rPr>
      </w:pPr>
      <w:r>
        <w:rPr>
          <w:rFonts w:ascii="Arial" w:cs="Arial" w:eastAsia="Arial" w:hAnsi="Arial"/>
          <w:sz w:val="17"/>
          <w:szCs w:val="17"/>
          <w:b w:val="1"/>
          <w:bCs w:val="1"/>
          <w:i w:val="1"/>
          <w:iCs w:val="1"/>
          <w:color w:val="auto"/>
        </w:rPr>
        <w:t xml:space="preserve">Lisa Colleran </w:t>
      </w:r>
      <w:r>
        <w:rPr>
          <w:rFonts w:ascii="Arial" w:cs="Arial" w:eastAsia="Arial" w:hAnsi="Arial"/>
          <w:sz w:val="17"/>
          <w:szCs w:val="17"/>
          <w:color w:val="auto"/>
        </w:rPr>
        <w:t>has been a member of our Board since April 2020. Ms. Colleran has been the principal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LNC Advisors, LLC, a strategic consulting firm that specializes in assisting biotech, pharmaceutical and medical device companies since February 2014. From October 2018 to September 2019, Ms. Colleran served as the Chief Executive Officer of Vivex Biomedical, Inc. and from January 2014 to October 2018, she served as Principal of Mica Partners, a strategic consulting firm. Prior to founding LNC Advisors,</w:t>
      </w:r>
    </w:p>
    <w:p>
      <w:pPr>
        <w:spacing w:after="0" w:line="2" w:lineRule="exact"/>
        <w:rPr>
          <w:sz w:val="20"/>
          <w:szCs w:val="20"/>
          <w:color w:val="auto"/>
        </w:rPr>
      </w:pPr>
    </w:p>
    <w:p>
      <w:pPr>
        <w:ind w:left="1260" w:right="679"/>
        <w:spacing w:after="0" w:line="249" w:lineRule="auto"/>
        <w:rPr>
          <w:sz w:val="20"/>
          <w:szCs w:val="20"/>
          <w:color w:val="auto"/>
        </w:rPr>
      </w:pPr>
      <w:r>
        <w:rPr>
          <w:rFonts w:ascii="Arial" w:cs="Arial" w:eastAsia="Arial" w:hAnsi="Arial"/>
          <w:sz w:val="17"/>
          <w:szCs w:val="17"/>
          <w:color w:val="auto"/>
        </w:rPr>
        <w:t>Ms. Colleran served as chief executive officer of LifeCell Corporation and a board member for Centaur Guerney L.P. (a holding company of LifeCell Corporation) from January 2012 to April 2013. Ms. Colleran also served as the global president of LifeCell Corporation from May 2008 to January 2012. Prior to assuming the role of global president, Ms. Colleran served as LifeCell’s vice president of marketing and business development from December 2002 until July 2004 and as senior vice president of commercial operations from July 2004 until May 2008. Prior to joining LifeCell, Ms. Colleran served as vice president and general manager of Renal Pharmaceuticals for Baxter Healthcare Corporation from 2000 to 2002 and served in various other sales and marketing positions at Baxter, from 1983 to 2000. Ms. Colleran currently serves on the board of directors for Establishment Labs, an innovative breast implant company, Ariste Medical, a medical device company and Rockwell Medical, a specialty pharmaceutical company focused on renal failure. Ms. Colleran holds an M.B.A. from Loyola University of Chicago and a B.S.N. degree from Molloy College. Ms. Colleran’s public company experience, broad healthcare management, market development and commercialization experience and her knowledge of healthcare policy and regulation, patient care delivery, clinical research and medical technology assessment provide her with the qualifications and skills to serve on our Board.</w:t>
      </w:r>
    </w:p>
    <w:p>
      <w:pPr>
        <w:spacing w:after="0" w:line="124" w:lineRule="exact"/>
        <w:rPr>
          <w:sz w:val="20"/>
          <w:szCs w:val="20"/>
          <w:color w:val="auto"/>
        </w:rPr>
      </w:pPr>
    </w:p>
    <w:p>
      <w:pPr>
        <w:ind w:left="1260" w:right="719"/>
        <w:spacing w:after="0" w:line="284" w:lineRule="auto"/>
        <w:rPr>
          <w:sz w:val="20"/>
          <w:szCs w:val="20"/>
          <w:color w:val="auto"/>
        </w:rPr>
      </w:pPr>
      <w:r>
        <w:rPr>
          <w:rFonts w:ascii="Arial" w:cs="Arial" w:eastAsia="Arial" w:hAnsi="Arial"/>
          <w:sz w:val="17"/>
          <w:szCs w:val="17"/>
          <w:b w:val="1"/>
          <w:bCs w:val="1"/>
          <w:i w:val="1"/>
          <w:iCs w:val="1"/>
          <w:color w:val="auto"/>
        </w:rPr>
        <w:t xml:space="preserve">Doug Evans </w:t>
      </w:r>
      <w:r>
        <w:rPr>
          <w:rFonts w:ascii="Arial" w:cs="Arial" w:eastAsia="Arial" w:hAnsi="Arial"/>
          <w:sz w:val="17"/>
          <w:szCs w:val="17"/>
          <w:color w:val="auto"/>
        </w:rPr>
        <w:t>has been a member of our Board since April 2020. Mr. Evans has served as the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Lungpacer Medical Inc., a medical device company, since January 2014. Prior to</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719"/>
        <w:spacing w:after="0" w:line="250" w:lineRule="auto"/>
        <w:rPr>
          <w:sz w:val="20"/>
          <w:szCs w:val="20"/>
          <w:color w:val="auto"/>
        </w:rPr>
      </w:pPr>
      <w:r>
        <w:rPr>
          <w:rFonts w:ascii="Arial" w:cs="Arial" w:eastAsia="Arial" w:hAnsi="Arial"/>
          <w:sz w:val="17"/>
          <w:szCs w:val="17"/>
          <w:color w:val="auto"/>
        </w:rPr>
        <w:t>joining Lungpacer, Mr. Evans served as the Chief Operating Officer and a member of the board of directors of Kensey Nash Corporation, a medical device company, from March 1995 to June 2013. Mr. Evans currently serves on the board of directors of Intact Vascular, a medical device company. Mr. Evans holds a Master of Science degree in Electrical Engineering and Photonics from the University of Pennsylvania, a M.B.A. from Pennsylvania State University Great Valley School of Graduate Professional Studies and a Bachelor’s of Science in Engineering Sciences from the Pennsylvania State University. Mr. Evans’ extensive executive leadership experience, deep knowledge of the medical device field and his experience with the commercialization of medical products provide him with the qualifications and skills to serve on our Board.</w:t>
      </w:r>
    </w:p>
    <w:p>
      <w:pPr>
        <w:spacing w:after="0" w:line="120" w:lineRule="exact"/>
        <w:rPr>
          <w:sz w:val="20"/>
          <w:szCs w:val="20"/>
          <w:color w:val="auto"/>
        </w:rPr>
      </w:pPr>
    </w:p>
    <w:p>
      <w:pPr>
        <w:ind w:left="1260" w:right="739"/>
        <w:spacing w:after="0" w:line="251" w:lineRule="auto"/>
        <w:rPr>
          <w:sz w:val="20"/>
          <w:szCs w:val="20"/>
          <w:color w:val="auto"/>
        </w:rPr>
      </w:pPr>
      <w:r>
        <w:rPr>
          <w:rFonts w:ascii="Arial" w:cs="Arial" w:eastAsia="Arial" w:hAnsi="Arial"/>
          <w:sz w:val="17"/>
          <w:szCs w:val="17"/>
          <w:b w:val="1"/>
          <w:bCs w:val="1"/>
          <w:i w:val="1"/>
          <w:iCs w:val="1"/>
          <w:color w:val="auto"/>
        </w:rPr>
        <w:t xml:space="preserve">Kurt Azarbarzin </w:t>
      </w:r>
      <w:r>
        <w:rPr>
          <w:rFonts w:ascii="Arial" w:cs="Arial" w:eastAsia="Arial" w:hAnsi="Arial"/>
          <w:sz w:val="17"/>
          <w:szCs w:val="17"/>
          <w:color w:val="auto"/>
        </w:rPr>
        <w:t>has been a member of our Board since November 2018. Mr. Azarbarzin has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and a member of the board of directors of Verb Surgical Inc., a robotic surgery company, since July 2019. Mr. Azarbarzin previously served as Chief Technology Officer for CONMED Corporation, a global, publicly-traded medical device company dedicated to helping customers improve patient outcomes, from 2016 to July 2019. Mr. Azarbarzin is the former Founder of SurgiQuest, Inc., a medical device company focused on advancing minimally invasive surgery, and served as its Chief Executive Officer from 2005 until June 2016. Mr. Azarbarzin is a member of the executive board at Center for Biomedical Innovation and Technology at Yale University. Mr. Azarbarzin previously held leadership roles in Research and Development at U.S. Surgical &amp; Tyco Healthcare. He earned a Bachelor of Science from the University of Bridgeport and completed advanced graduate studies in mechanical design at Bridgeport Engineering Institute and manufacturing engineering at Bradley University. Mr. Azarbarzin’s expertise in the medical device industry and experience as an executive officer in the medical device field provide him with the qualifications and skills to serve on our Board.</w:t>
      </w:r>
    </w:p>
    <w:p>
      <w:pPr>
        <w:spacing w:after="0" w:line="137" w:lineRule="exact"/>
        <w:rPr>
          <w:sz w:val="20"/>
          <w:szCs w:val="20"/>
          <w:color w:val="auto"/>
        </w:rPr>
      </w:pPr>
    </w:p>
    <w:p>
      <w:pPr>
        <w:ind w:left="1260" w:right="699"/>
        <w:spacing w:after="0" w:line="269" w:lineRule="auto"/>
        <w:rPr>
          <w:sz w:val="20"/>
          <w:szCs w:val="20"/>
          <w:color w:val="auto"/>
        </w:rPr>
      </w:pPr>
      <w:r>
        <w:rPr>
          <w:rFonts w:ascii="Arial" w:cs="Arial" w:eastAsia="Arial" w:hAnsi="Arial"/>
          <w:sz w:val="17"/>
          <w:szCs w:val="17"/>
          <w:b w:val="1"/>
          <w:bCs w:val="1"/>
          <w:i w:val="1"/>
          <w:iCs w:val="1"/>
          <w:color w:val="auto"/>
        </w:rPr>
        <w:t xml:space="preserve">Adele Oliva </w:t>
      </w:r>
      <w:r>
        <w:rPr>
          <w:rFonts w:ascii="Arial" w:cs="Arial" w:eastAsia="Arial" w:hAnsi="Arial"/>
          <w:sz w:val="17"/>
          <w:szCs w:val="17"/>
          <w:color w:val="auto"/>
        </w:rPr>
        <w:t>has been a member of our Board since 2012. Ms. Oliva co-founded 1315 Capital, a firm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focused on health care growth investing, in 2014. Since 2007, Ms. Oliva has served as a partner of Quaker Partners, a healthcare investment firm. Prior to joining Quaker Partners, she was Co-Head of US Healthcare at Apax Partners, a global private equity firm. Ms. Oliva serves as a member of the board of directors of Colorescience, Innovative Health, Sprout Pharmaceuticals, Greenbrook TMS Inc. and Onkos Surgical. She received a Bachelor of Science degree from St. Joseph’s University and a Masters of Business Administration from Cornell University, where she was awarded the Albert Fried fellowship. Ms. Oliva’s extensive finance and health care experience, as well as her insight into commercial-stage specialty medical technology companies provide her with the qualifications and skills to serve on our Board.</w:t>
      </w:r>
    </w:p>
    <w:p>
      <w:pPr>
        <w:spacing w:after="0" w:line="107" w:lineRule="exact"/>
        <w:rPr>
          <w:sz w:val="20"/>
          <w:szCs w:val="20"/>
          <w:color w:val="auto"/>
        </w:rPr>
      </w:pPr>
    </w:p>
    <w:p>
      <w:pPr>
        <w:ind w:left="1260" w:right="699"/>
        <w:spacing w:after="0" w:line="267" w:lineRule="auto"/>
        <w:rPr>
          <w:sz w:val="20"/>
          <w:szCs w:val="20"/>
          <w:color w:val="auto"/>
        </w:rPr>
      </w:pPr>
      <w:r>
        <w:rPr>
          <w:rFonts w:ascii="Arial" w:cs="Arial" w:eastAsia="Arial" w:hAnsi="Arial"/>
          <w:sz w:val="17"/>
          <w:szCs w:val="17"/>
          <w:b w:val="1"/>
          <w:bCs w:val="1"/>
          <w:i w:val="1"/>
          <w:iCs w:val="1"/>
          <w:color w:val="auto"/>
        </w:rPr>
        <w:t xml:space="preserve">Vince Burgess </w:t>
      </w:r>
      <w:r>
        <w:rPr>
          <w:rFonts w:ascii="Arial" w:cs="Arial" w:eastAsia="Arial" w:hAnsi="Arial"/>
          <w:sz w:val="17"/>
          <w:szCs w:val="17"/>
          <w:color w:val="auto"/>
        </w:rPr>
        <w:t>has been a member of our Board since December 2012. Mr. Burgess has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Chief Executive Officer and member of the board of directors of Acutus Medical, a medical device company, since October 2017 and he has served as a Venture Partner with OrbiMed Advisors, LLC, a healthcare investment firm, since September 2011. Prior to joining OrbiMed, Mr. Burgess was a member of the initial executive team at Volcano Corporation, where he served as President of Advanced Imaging Systems. He also led marketing and business development at Volcano from 2002 to 2010. He currently serves as a member of the board of directors of NeuroPace, Inc., Sonendo Inc. and Ornim Medical. He has previously served on the boards of Keystone Heart, Inc., Vessix Vasular, Cryterion Medical and CardiAQ, Inc. He earned his Bachelor of Science degree in Business Administration from the University of South Carolina and his Masters of Business Administration from the University of California, Los Angeles.</w:t>
      </w:r>
    </w:p>
    <w:p>
      <w:pPr>
        <w:spacing w:after="0" w:line="5" w:lineRule="exact"/>
        <w:rPr>
          <w:sz w:val="20"/>
          <w:szCs w:val="20"/>
          <w:color w:val="auto"/>
        </w:rPr>
      </w:pPr>
    </w:p>
    <w:p>
      <w:pPr>
        <w:ind w:left="1260" w:right="1159"/>
        <w:spacing w:after="0" w:line="276" w:lineRule="auto"/>
        <w:rPr>
          <w:sz w:val="20"/>
          <w:szCs w:val="20"/>
          <w:color w:val="auto"/>
        </w:rPr>
      </w:pPr>
      <w:r>
        <w:rPr>
          <w:rFonts w:ascii="Arial" w:cs="Arial" w:eastAsia="Arial" w:hAnsi="Arial"/>
          <w:sz w:val="17"/>
          <w:szCs w:val="17"/>
          <w:color w:val="auto"/>
        </w:rPr>
        <w:t>Mr. Burgess’ expertise in marketing and business development, as well as his operational and board experience in the surgical tool field provide him with the qualifications and skills to serve on our Board.</w:t>
      </w:r>
    </w:p>
    <w:p>
      <w:pPr>
        <w:spacing w:after="0" w:line="111" w:lineRule="exact"/>
        <w:rPr>
          <w:sz w:val="20"/>
          <w:szCs w:val="20"/>
          <w:color w:val="auto"/>
        </w:rPr>
      </w:pPr>
    </w:p>
    <w:p>
      <w:pPr>
        <w:ind w:left="1260" w:right="679"/>
        <w:spacing w:after="0" w:line="268" w:lineRule="auto"/>
        <w:rPr>
          <w:sz w:val="20"/>
          <w:szCs w:val="20"/>
          <w:color w:val="auto"/>
        </w:rPr>
      </w:pPr>
      <w:r>
        <w:rPr>
          <w:rFonts w:ascii="Arial" w:cs="Arial" w:eastAsia="Arial" w:hAnsi="Arial"/>
          <w:sz w:val="17"/>
          <w:szCs w:val="17"/>
          <w:b w:val="1"/>
          <w:bCs w:val="1"/>
          <w:i w:val="1"/>
          <w:iCs w:val="1"/>
          <w:color w:val="auto"/>
        </w:rPr>
        <w:t xml:space="preserve">Federica O’Brien </w:t>
      </w:r>
      <w:r>
        <w:rPr>
          <w:rFonts w:ascii="Arial" w:cs="Arial" w:eastAsia="Arial" w:hAnsi="Arial"/>
          <w:sz w:val="17"/>
          <w:szCs w:val="17"/>
          <w:color w:val="auto"/>
        </w:rPr>
        <w:t>has been a member of our Board since November 2019. Ms. O’Brien has been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of CFO’Brien Consulting, LLC since January of 2018 providing operational and financial consulting primarily for biotech companies. Previously she served as Chief Financial Officer of Complexa Inc., a biopharmaceutical company, from May 2015 to December 2017 and as Chief Financial Officer of Cerecor Inc., a biopharmaceutical company, from April 2013 to May 2015. Prior to that, Ms. O’Brien served as the Chief Financial Officer and Chief Operating Officer of Cervilenz Inc., a privately held medical device company, from June 2011 through April 2013, and as Director of Life Sciences for McGladrey LLP, an independent accounting firm, from February 2010 through May 2011. From July 2009 through</w:t>
      </w:r>
    </w:p>
    <w:p>
      <w:pPr>
        <w:spacing w:after="0" w:line="2" w:lineRule="exact"/>
        <w:rPr>
          <w:sz w:val="20"/>
          <w:szCs w:val="20"/>
          <w:color w:val="auto"/>
        </w:rPr>
      </w:pPr>
    </w:p>
    <w:p>
      <w:pPr>
        <w:ind w:left="1260" w:right="939"/>
        <w:spacing w:after="0" w:line="268" w:lineRule="auto"/>
        <w:rPr>
          <w:sz w:val="20"/>
          <w:szCs w:val="20"/>
          <w:color w:val="auto"/>
        </w:rPr>
      </w:pPr>
      <w:r>
        <w:rPr>
          <w:rFonts w:ascii="Arial" w:cs="Arial" w:eastAsia="Arial" w:hAnsi="Arial"/>
          <w:sz w:val="17"/>
          <w:szCs w:val="17"/>
          <w:color w:val="auto"/>
        </w:rPr>
        <w:t>February 2010, Ms. O’Brien provided financial and strategic consulting services. From April 2005 through July 2009, Ms. O’Brien served as the Chief Financial Officer of Cardiokine Inc., a privately held biotechnology company. Prior to 2005, Ms. O’Brien was Controller at Barrier Therapeutics during and subsequent to the biotechnology company’s initial public offering and was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799"/>
        <w:spacing w:after="0" w:line="268" w:lineRule="auto"/>
        <w:rPr>
          <w:sz w:val="20"/>
          <w:szCs w:val="20"/>
          <w:color w:val="auto"/>
        </w:rPr>
      </w:pPr>
      <w:r>
        <w:rPr>
          <w:rFonts w:ascii="Arial" w:cs="Arial" w:eastAsia="Arial" w:hAnsi="Arial"/>
          <w:sz w:val="17"/>
          <w:szCs w:val="17"/>
          <w:color w:val="auto"/>
        </w:rPr>
        <w:t>Chief Financial Officer at Infonautics, Inc., then a publicly held technology company. She began her career at public accounting firms including most recently as an Audit Manager for Coopers &amp; Lybrand. Ms. O’Brien received her B.A. in Accounting from Rutgers University and is a Certified Public Accountant in the State of New Jersey. Ms. O’Brien’s financial, accounting management and audit expertise provide her with the qualifications and skills to serve on our Board.</w:t>
      </w:r>
    </w:p>
    <w:p>
      <w:pPr>
        <w:spacing w:after="0" w:line="117" w:lineRule="exact"/>
        <w:rPr>
          <w:sz w:val="20"/>
          <w:szCs w:val="20"/>
          <w:color w:val="auto"/>
        </w:rPr>
      </w:pPr>
    </w:p>
    <w:p>
      <w:pPr>
        <w:ind w:left="1260" w:right="699"/>
        <w:spacing w:after="0" w:line="269" w:lineRule="auto"/>
        <w:rPr>
          <w:sz w:val="20"/>
          <w:szCs w:val="20"/>
          <w:color w:val="auto"/>
        </w:rPr>
      </w:pPr>
      <w:r>
        <w:rPr>
          <w:rFonts w:ascii="Arial" w:cs="Arial" w:eastAsia="Arial" w:hAnsi="Arial"/>
          <w:sz w:val="17"/>
          <w:szCs w:val="17"/>
          <w:b w:val="1"/>
          <w:bCs w:val="1"/>
          <w:i w:val="1"/>
          <w:iCs w:val="1"/>
          <w:color w:val="auto"/>
        </w:rPr>
        <w:t xml:space="preserve">Nora Brennan </w:t>
      </w:r>
      <w:r>
        <w:rPr>
          <w:rFonts w:ascii="Arial" w:cs="Arial" w:eastAsia="Arial" w:hAnsi="Arial"/>
          <w:sz w:val="17"/>
          <w:szCs w:val="17"/>
          <w:color w:val="auto"/>
        </w:rPr>
        <w:t>has served as our Chief Financial Officer since January 2019. Previously, Ms. Brennan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performed consulting services from April 2018 until January 2019 and served as Chief Financial Officer at Xeris Pharmaceuticals, Inc., a specialty pharmaceutical company, from June 2017 until April 2018. From June 2006 to June 2017, she was employed at Integra Lifesciences Corporation, a global medical device company, where she held various senior leadership roles, including Senior Vice President, Investor Relations and Corporate Treasurer. Prior to joining Integra, Ms. Brennan worked at Citigroup and JP Morgan in various finance and investment banking roles. Ms. Brennan holds a Master of Business Administration degree from the University of Chicago Booth School of Business and a Bachelor of Arts from the University of Illinois.</w:t>
      </w:r>
    </w:p>
    <w:p>
      <w:pPr>
        <w:spacing w:after="0" w:line="121" w:lineRule="exact"/>
        <w:rPr>
          <w:sz w:val="20"/>
          <w:szCs w:val="20"/>
          <w:color w:val="auto"/>
        </w:rPr>
      </w:pPr>
    </w:p>
    <w:p>
      <w:pPr>
        <w:ind w:left="1260" w:right="1179"/>
        <w:spacing w:after="0" w:line="283" w:lineRule="auto"/>
        <w:rPr>
          <w:sz w:val="20"/>
          <w:szCs w:val="20"/>
          <w:color w:val="auto"/>
        </w:rPr>
      </w:pPr>
      <w:r>
        <w:rPr>
          <w:rFonts w:ascii="Arial" w:cs="Arial" w:eastAsia="Arial" w:hAnsi="Arial"/>
          <w:sz w:val="17"/>
          <w:szCs w:val="17"/>
          <w:b w:val="1"/>
          <w:bCs w:val="1"/>
          <w:i w:val="1"/>
          <w:iCs w:val="1"/>
          <w:color w:val="auto"/>
        </w:rPr>
        <w:t xml:space="preserve">Maarten Persenaire, MD </w:t>
      </w:r>
      <w:r>
        <w:rPr>
          <w:rFonts w:ascii="Arial" w:cs="Arial" w:eastAsia="Arial" w:hAnsi="Arial"/>
          <w:sz w:val="17"/>
          <w:szCs w:val="17"/>
          <w:color w:val="auto"/>
        </w:rPr>
        <w:t>is one of our co-founders and has served as our Chief Medical Officer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2012. From 1999 to 2011, Dr. Persenaire was Chief Medical Officer at Orthovita, Inc. Dr. Persenaire received his Doctor of Medicine degree at Groningen University in The Netherlands.</w:t>
      </w:r>
    </w:p>
    <w:p>
      <w:pPr>
        <w:spacing w:after="0" w:line="92" w:lineRule="exact"/>
        <w:rPr>
          <w:sz w:val="20"/>
          <w:szCs w:val="20"/>
          <w:color w:val="auto"/>
        </w:rPr>
      </w:pPr>
    </w:p>
    <w:p>
      <w:pPr>
        <w:ind w:left="1260" w:right="879"/>
        <w:spacing w:after="0" w:line="273" w:lineRule="auto"/>
        <w:rPr>
          <w:sz w:val="20"/>
          <w:szCs w:val="20"/>
          <w:color w:val="auto"/>
        </w:rPr>
      </w:pPr>
      <w:r>
        <w:rPr>
          <w:rFonts w:ascii="Arial" w:cs="Arial" w:eastAsia="Arial" w:hAnsi="Arial"/>
          <w:sz w:val="17"/>
          <w:szCs w:val="17"/>
          <w:b w:val="1"/>
          <w:bCs w:val="1"/>
          <w:i w:val="1"/>
          <w:iCs w:val="1"/>
          <w:color w:val="auto"/>
        </w:rPr>
        <w:t xml:space="preserve">E. Skott Greenhalgh, PhD </w:t>
      </w:r>
      <w:r>
        <w:rPr>
          <w:rFonts w:ascii="Arial" w:cs="Arial" w:eastAsia="Arial" w:hAnsi="Arial"/>
          <w:sz w:val="17"/>
          <w:szCs w:val="17"/>
          <w:color w:val="auto"/>
        </w:rPr>
        <w:t>has served as our Chief Technology Officer since December 2016, and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of Research and Development from January 2013 through November 2016. Previously, Dr. Greenhalgh served as Chief Technology Officer at Stout Medical Group LP and US Biodesign Inc.</w:t>
      </w:r>
    </w:p>
    <w:p>
      <w:pPr>
        <w:spacing w:after="0" w:line="1" w:lineRule="exact"/>
        <w:rPr>
          <w:sz w:val="20"/>
          <w:szCs w:val="20"/>
          <w:color w:val="auto"/>
        </w:rPr>
      </w:pPr>
    </w:p>
    <w:p>
      <w:pPr>
        <w:jc w:val="both"/>
        <w:ind w:left="1260" w:right="939"/>
        <w:spacing w:after="0" w:line="270" w:lineRule="auto"/>
        <w:rPr>
          <w:sz w:val="20"/>
          <w:szCs w:val="20"/>
          <w:color w:val="auto"/>
        </w:rPr>
      </w:pPr>
      <w:r>
        <w:rPr>
          <w:rFonts w:ascii="Arial" w:cs="Arial" w:eastAsia="Arial" w:hAnsi="Arial"/>
          <w:sz w:val="17"/>
          <w:szCs w:val="17"/>
          <w:color w:val="auto"/>
        </w:rPr>
        <w:t>Dr. Greenhalgh received his Doctor of Philosophy degree in Fiber and Polymer Science and his Master’s degree in Textile Engineering from North Carolina State University, and his Bachelor of Science degree in Mechanical Engineering is from Drexel University.</w:t>
      </w:r>
    </w:p>
    <w:p>
      <w:pPr>
        <w:spacing w:after="0" w:line="117"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b w:val="1"/>
          <w:bCs w:val="1"/>
          <w:i w:val="1"/>
          <w:iCs w:val="1"/>
          <w:color w:val="auto"/>
        </w:rPr>
        <w:t xml:space="preserve">Peter Murphy </w:t>
      </w:r>
      <w:r>
        <w:rPr>
          <w:rFonts w:ascii="Arial" w:cs="Arial" w:eastAsia="Arial" w:hAnsi="Arial"/>
          <w:sz w:val="17"/>
          <w:szCs w:val="17"/>
          <w:color w:val="auto"/>
        </w:rPr>
        <w:t>has served as our Chief Commercial Officer since January 2020. Mr. Murphy has more than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 years of commercial sales and marketing experience at leading medical device and pharmaceutical companies. Most recently, he was Vice President of Sales at Pacira Pharmaceuticals from July 2017 to January 2020, where he led the development, management, expansion and execution of a product sales team in the United States. He also served as Pacira Pharmaceuticals’ Area Sales Director, Eastern U.S., from January to July 2017 and its Regional Business Director, Northeast, and Field Director of Marketing from January 2014 to January 2017. His experience prior to Pacira includes sales and management positions with Medtronic Spine &amp; Biologics, Stryker, and SmithKline Beecham. Mr. Murphy holds a Bachelor of Arts from Gettysburg College.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PRINCIPAL STOCKHOLDERS</w:t>
      </w:r>
    </w:p>
    <w:p>
      <w:pPr>
        <w:spacing w:after="0" w:line="350" w:lineRule="exact"/>
        <w:rPr>
          <w:sz w:val="20"/>
          <w:szCs w:val="20"/>
          <w:color w:val="auto"/>
        </w:rPr>
      </w:pPr>
    </w:p>
    <w:p>
      <w:pPr>
        <w:ind w:left="1260" w:right="779"/>
        <w:spacing w:after="0" w:line="252" w:lineRule="auto"/>
        <w:rPr>
          <w:sz w:val="20"/>
          <w:szCs w:val="20"/>
          <w:color w:val="auto"/>
        </w:rPr>
      </w:pPr>
      <w:r>
        <w:rPr>
          <w:rFonts w:ascii="Arial" w:cs="Arial" w:eastAsia="Arial" w:hAnsi="Arial"/>
          <w:sz w:val="17"/>
          <w:szCs w:val="17"/>
          <w:color w:val="auto"/>
        </w:rPr>
        <w:t>The following table sets forth certain information regarding the beneficial ownership of common stock as of June 12, 2020 by (a) each person known by us to be the beneficial owner of more than 5% of the outstanding shares of common stock, (b) each of our named executive officers, (c) each director, and (d) all executive officers and directors as a group.</w:t>
      </w:r>
    </w:p>
    <w:p>
      <w:pPr>
        <w:spacing w:after="0" w:line="138" w:lineRule="exact"/>
        <w:rPr>
          <w:sz w:val="20"/>
          <w:szCs w:val="20"/>
          <w:color w:val="auto"/>
        </w:rPr>
      </w:pPr>
    </w:p>
    <w:p>
      <w:pPr>
        <w:ind w:left="1260" w:right="679"/>
        <w:spacing w:after="0" w:line="249" w:lineRule="auto"/>
        <w:rPr>
          <w:sz w:val="20"/>
          <w:szCs w:val="20"/>
          <w:color w:val="auto"/>
        </w:rPr>
      </w:pPr>
      <w:r>
        <w:rPr>
          <w:rFonts w:ascii="Arial" w:cs="Arial" w:eastAsia="Arial" w:hAnsi="Arial"/>
          <w:sz w:val="17"/>
          <w:szCs w:val="17"/>
          <w:color w:val="auto"/>
        </w:rPr>
        <w:t>The percentage of common stock outstanding “before this offering” and “after this offering” is based on 11,411,469 shares of our common stock outstanding as of June 12, 2020 and assumes the sale in this offering of 3,000,000 shares of our common stock, based on an assumed offering price of $20.90, which is the last reported trading price on the Nasdaq Global Market on June 22, 2020. For purposes of the table below, and in accordance with the rules of the SEC, we deem shares of common stock subject to options that are currently exercisable or exercisable within sixty days of June 12, 2020 to be outstanding and to be beneficially owned by the person holding the options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TELA Bio, Inc., 1 Great Valley Parkway, Suite 24, Malvern, PA 19355. As of June 12, 2020, there were approximately 88 record holders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121285</wp:posOffset>
            </wp:positionV>
            <wp:extent cx="52120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NAME OF BENEFICIAL OWNER</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5% or Greater Stockholders</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Quaker BioVentures II, L.P.</w:t>
      </w:r>
      <w:r>
        <w:rPr>
          <w:rFonts w:ascii="Arial" w:cs="Arial" w:eastAsia="Arial" w:hAnsi="Arial"/>
          <w:sz w:val="25"/>
          <w:szCs w:val="25"/>
          <w:color w:val="auto"/>
          <w:vertAlign w:val="superscript"/>
        </w:rPr>
        <w:t>(1)</w:t>
      </w:r>
    </w:p>
    <w:p>
      <w:pPr>
        <w:ind w:left="1260"/>
        <w:spacing w:after="0" w:line="214" w:lineRule="auto"/>
        <w:rPr>
          <w:sz w:val="20"/>
          <w:szCs w:val="20"/>
          <w:color w:val="auto"/>
        </w:rPr>
      </w:pPr>
      <w:r>
        <w:rPr>
          <w:rFonts w:ascii="Arial" w:cs="Arial" w:eastAsia="Arial" w:hAnsi="Arial"/>
          <w:sz w:val="17"/>
          <w:szCs w:val="17"/>
          <w:color w:val="auto"/>
        </w:rPr>
        <w:t>RTW Investments, LP</w:t>
      </w:r>
      <w:r>
        <w:rPr>
          <w:rFonts w:ascii="Arial" w:cs="Arial" w:eastAsia="Arial" w:hAnsi="Arial"/>
          <w:sz w:val="25"/>
          <w:szCs w:val="25"/>
          <w:color w:val="auto"/>
          <w:vertAlign w:val="superscript"/>
        </w:rPr>
        <w:t>(2)</w:t>
      </w:r>
    </w:p>
    <w:p>
      <w:pPr>
        <w:ind w:left="1260"/>
        <w:spacing w:after="0" w:line="214" w:lineRule="auto"/>
        <w:rPr>
          <w:sz w:val="20"/>
          <w:szCs w:val="20"/>
          <w:color w:val="auto"/>
        </w:rPr>
      </w:pPr>
      <w:r>
        <w:rPr>
          <w:rFonts w:ascii="Arial" w:cs="Arial" w:eastAsia="Arial" w:hAnsi="Arial"/>
          <w:sz w:val="17"/>
          <w:szCs w:val="17"/>
          <w:color w:val="auto"/>
        </w:rPr>
        <w:t>EW Healthcare Partners 2-UGP, LLC</w:t>
      </w:r>
      <w:r>
        <w:rPr>
          <w:rFonts w:ascii="Arial" w:cs="Arial" w:eastAsia="Arial" w:hAnsi="Arial"/>
          <w:sz w:val="25"/>
          <w:szCs w:val="25"/>
          <w:color w:val="auto"/>
          <w:vertAlign w:val="superscript"/>
        </w:rPr>
        <w:t>(3)</w:t>
      </w:r>
    </w:p>
    <w:p>
      <w:pPr>
        <w:ind w:left="1260"/>
        <w:spacing w:after="0" w:line="225" w:lineRule="auto"/>
        <w:rPr>
          <w:sz w:val="20"/>
          <w:szCs w:val="20"/>
          <w:color w:val="auto"/>
        </w:rPr>
      </w:pPr>
      <w:r>
        <w:rPr>
          <w:rFonts w:ascii="Arial" w:cs="Arial" w:eastAsia="Arial" w:hAnsi="Arial"/>
          <w:sz w:val="17"/>
          <w:szCs w:val="17"/>
          <w:color w:val="auto"/>
        </w:rPr>
        <w:t>Orbimed Private Investments IV, LP</w:t>
      </w:r>
      <w:r>
        <w:rPr>
          <w:rFonts w:ascii="Arial" w:cs="Arial" w:eastAsia="Arial" w:hAnsi="Arial"/>
          <w:sz w:val="25"/>
          <w:szCs w:val="25"/>
          <w:color w:val="auto"/>
          <w:vertAlign w:val="superscript"/>
        </w:rPr>
        <w:t>(4)</w:t>
      </w:r>
    </w:p>
    <w:p>
      <w:pPr>
        <w:ind w:left="1260"/>
        <w:spacing w:after="0" w:line="233" w:lineRule="auto"/>
        <w:rPr>
          <w:sz w:val="20"/>
          <w:szCs w:val="20"/>
          <w:color w:val="auto"/>
        </w:rPr>
      </w:pPr>
      <w:r>
        <w:rPr>
          <w:rFonts w:ascii="Arial" w:cs="Arial" w:eastAsia="Arial" w:hAnsi="Arial"/>
          <w:sz w:val="17"/>
          <w:szCs w:val="17"/>
          <w:color w:val="auto"/>
        </w:rPr>
        <w:t>Signet Healthcare Partners Accredited</w:t>
      </w:r>
    </w:p>
    <w:p>
      <w:pPr>
        <w:ind w:left="1440"/>
        <w:spacing w:after="0" w:line="214" w:lineRule="auto"/>
        <w:rPr>
          <w:sz w:val="20"/>
          <w:szCs w:val="20"/>
          <w:color w:val="auto"/>
        </w:rPr>
      </w:pPr>
      <w:r>
        <w:rPr>
          <w:rFonts w:ascii="Arial" w:cs="Arial" w:eastAsia="Arial" w:hAnsi="Arial"/>
          <w:sz w:val="17"/>
          <w:szCs w:val="17"/>
          <w:color w:val="auto"/>
        </w:rPr>
        <w:t>Partnership III, LP</w:t>
      </w:r>
      <w:r>
        <w:rPr>
          <w:rFonts w:ascii="Arial" w:cs="Arial" w:eastAsia="Arial" w:hAnsi="Arial"/>
          <w:sz w:val="25"/>
          <w:szCs w:val="25"/>
          <w:color w:val="auto"/>
          <w:vertAlign w:val="superscript"/>
        </w:rPr>
        <w:t>(5)</w:t>
      </w:r>
    </w:p>
    <w:p>
      <w:pPr>
        <w:ind w:left="1260"/>
        <w:spacing w:after="0" w:line="236" w:lineRule="auto"/>
        <w:rPr>
          <w:sz w:val="20"/>
          <w:szCs w:val="20"/>
          <w:color w:val="auto"/>
        </w:rPr>
      </w:pPr>
      <w:r>
        <w:rPr>
          <w:rFonts w:ascii="Arial" w:cs="Arial" w:eastAsia="Arial" w:hAnsi="Arial"/>
          <w:sz w:val="17"/>
          <w:szCs w:val="17"/>
          <w:color w:val="auto"/>
        </w:rPr>
        <w:t>Pacira BioSciences, Inc.</w:t>
      </w:r>
      <w:r>
        <w:rPr>
          <w:rFonts w:ascii="Arial" w:cs="Arial" w:eastAsia="Arial" w:hAnsi="Arial"/>
          <w:sz w:val="25"/>
          <w:szCs w:val="25"/>
          <w:color w:val="auto"/>
          <w:vertAlign w:val="superscript"/>
        </w:rPr>
        <w:t>(6)</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Named Executive Officers and Directors</w:t>
      </w:r>
    </w:p>
    <w:p>
      <w:pPr>
        <w:ind w:left="1260"/>
        <w:spacing w:after="0" w:line="231" w:lineRule="auto"/>
        <w:rPr>
          <w:sz w:val="20"/>
          <w:szCs w:val="20"/>
          <w:color w:val="auto"/>
        </w:rPr>
      </w:pPr>
      <w:r>
        <w:rPr>
          <w:rFonts w:ascii="Arial" w:cs="Arial" w:eastAsia="Arial" w:hAnsi="Arial"/>
          <w:sz w:val="17"/>
          <w:szCs w:val="17"/>
          <w:color w:val="auto"/>
        </w:rPr>
        <w:t>Antony Koblish</w:t>
      </w:r>
      <w:r>
        <w:rPr>
          <w:rFonts w:ascii="Arial" w:cs="Arial" w:eastAsia="Arial" w:hAnsi="Arial"/>
          <w:sz w:val="25"/>
          <w:szCs w:val="25"/>
          <w:color w:val="auto"/>
          <w:vertAlign w:val="superscript"/>
        </w:rPr>
        <w:t>(7)</w:t>
      </w:r>
    </w:p>
    <w:p>
      <w:pPr>
        <w:ind w:left="1260"/>
        <w:spacing w:after="0" w:line="214" w:lineRule="auto"/>
        <w:rPr>
          <w:sz w:val="20"/>
          <w:szCs w:val="20"/>
          <w:color w:val="auto"/>
        </w:rPr>
      </w:pPr>
      <w:r>
        <w:rPr>
          <w:rFonts w:ascii="Arial" w:cs="Arial" w:eastAsia="Arial" w:hAnsi="Arial"/>
          <w:sz w:val="17"/>
          <w:szCs w:val="17"/>
          <w:color w:val="auto"/>
        </w:rPr>
        <w:t>Maarten Persenaire, MD</w:t>
      </w:r>
      <w:r>
        <w:rPr>
          <w:rFonts w:ascii="Arial" w:cs="Arial" w:eastAsia="Arial" w:hAnsi="Arial"/>
          <w:sz w:val="25"/>
          <w:szCs w:val="25"/>
          <w:color w:val="auto"/>
          <w:vertAlign w:val="superscript"/>
        </w:rPr>
        <w:t>(8)</w:t>
      </w:r>
    </w:p>
    <w:p>
      <w:pPr>
        <w:ind w:left="1260"/>
        <w:spacing w:after="0" w:line="214" w:lineRule="auto"/>
        <w:rPr>
          <w:sz w:val="20"/>
          <w:szCs w:val="20"/>
          <w:color w:val="auto"/>
        </w:rPr>
      </w:pPr>
      <w:r>
        <w:rPr>
          <w:rFonts w:ascii="Arial" w:cs="Arial" w:eastAsia="Arial" w:hAnsi="Arial"/>
          <w:sz w:val="17"/>
          <w:szCs w:val="17"/>
          <w:color w:val="auto"/>
        </w:rPr>
        <w:t>E. Skott Greenhalgh, PhD</w:t>
      </w:r>
      <w:r>
        <w:rPr>
          <w:rFonts w:ascii="Arial" w:cs="Arial" w:eastAsia="Arial" w:hAnsi="Arial"/>
          <w:sz w:val="25"/>
          <w:szCs w:val="25"/>
          <w:color w:val="auto"/>
          <w:vertAlign w:val="superscript"/>
        </w:rPr>
        <w:t>(9)</w:t>
      </w:r>
    </w:p>
    <w:p>
      <w:pPr>
        <w:ind w:left="1260"/>
        <w:spacing w:after="0" w:line="214" w:lineRule="auto"/>
        <w:rPr>
          <w:sz w:val="20"/>
          <w:szCs w:val="20"/>
          <w:color w:val="auto"/>
        </w:rPr>
      </w:pPr>
      <w:r>
        <w:rPr>
          <w:rFonts w:ascii="Arial" w:cs="Arial" w:eastAsia="Arial" w:hAnsi="Arial"/>
          <w:sz w:val="17"/>
          <w:szCs w:val="17"/>
          <w:color w:val="auto"/>
        </w:rPr>
        <w:t>Kurt Azarbarzin</w:t>
      </w:r>
      <w:r>
        <w:rPr>
          <w:rFonts w:ascii="Arial" w:cs="Arial" w:eastAsia="Arial" w:hAnsi="Arial"/>
          <w:sz w:val="25"/>
          <w:szCs w:val="25"/>
          <w:color w:val="auto"/>
          <w:vertAlign w:val="superscript"/>
        </w:rPr>
        <w:t>(10)</w:t>
      </w:r>
    </w:p>
    <w:p>
      <w:pPr>
        <w:ind w:left="1260"/>
        <w:spacing w:after="0" w:line="215" w:lineRule="auto"/>
        <w:rPr>
          <w:sz w:val="20"/>
          <w:szCs w:val="20"/>
          <w:color w:val="auto"/>
        </w:rPr>
      </w:pPr>
      <w:r>
        <w:rPr>
          <w:rFonts w:ascii="Arial" w:cs="Arial" w:eastAsia="Arial" w:hAnsi="Arial"/>
          <w:sz w:val="17"/>
          <w:szCs w:val="17"/>
          <w:color w:val="auto"/>
        </w:rPr>
        <w:t>Federica O’Brien</w:t>
      </w:r>
      <w:r>
        <w:rPr>
          <w:rFonts w:ascii="Arial" w:cs="Arial" w:eastAsia="Arial" w:hAnsi="Arial"/>
          <w:sz w:val="25"/>
          <w:szCs w:val="25"/>
          <w:color w:val="auto"/>
          <w:vertAlign w:val="superscript"/>
        </w:rPr>
        <w:t>(11)</w:t>
      </w:r>
    </w:p>
    <w:p>
      <w:pPr>
        <w:ind w:left="1260"/>
        <w:spacing w:after="0" w:line="214" w:lineRule="auto"/>
        <w:rPr>
          <w:sz w:val="20"/>
          <w:szCs w:val="20"/>
          <w:color w:val="auto"/>
        </w:rPr>
      </w:pPr>
      <w:r>
        <w:rPr>
          <w:rFonts w:ascii="Arial" w:cs="Arial" w:eastAsia="Arial" w:hAnsi="Arial"/>
          <w:sz w:val="17"/>
          <w:szCs w:val="17"/>
          <w:color w:val="auto"/>
        </w:rPr>
        <w:t>Adele Oliva</w:t>
      </w:r>
      <w:r>
        <w:rPr>
          <w:rFonts w:ascii="Arial" w:cs="Arial" w:eastAsia="Arial" w:hAnsi="Arial"/>
          <w:sz w:val="25"/>
          <w:szCs w:val="25"/>
          <w:color w:val="auto"/>
          <w:vertAlign w:val="superscript"/>
        </w:rPr>
        <w:t>(12)</w:t>
      </w:r>
    </w:p>
    <w:p>
      <w:pPr>
        <w:ind w:left="1260"/>
        <w:spacing w:after="0" w:line="214" w:lineRule="auto"/>
        <w:rPr>
          <w:sz w:val="20"/>
          <w:szCs w:val="20"/>
          <w:color w:val="auto"/>
        </w:rPr>
      </w:pPr>
      <w:r>
        <w:rPr>
          <w:rFonts w:ascii="Arial" w:cs="Arial" w:eastAsia="Arial" w:hAnsi="Arial"/>
          <w:sz w:val="17"/>
          <w:szCs w:val="17"/>
          <w:color w:val="auto"/>
        </w:rPr>
        <w:t>Vince Burgess</w:t>
      </w:r>
      <w:r>
        <w:rPr>
          <w:rFonts w:ascii="Arial" w:cs="Arial" w:eastAsia="Arial" w:hAnsi="Arial"/>
          <w:sz w:val="25"/>
          <w:szCs w:val="25"/>
          <w:color w:val="auto"/>
          <w:vertAlign w:val="superscript"/>
        </w:rPr>
        <w:t>(13)</w:t>
      </w:r>
    </w:p>
    <w:p>
      <w:pPr>
        <w:ind w:left="1260"/>
        <w:spacing w:after="0" w:line="214" w:lineRule="auto"/>
        <w:rPr>
          <w:sz w:val="20"/>
          <w:szCs w:val="20"/>
          <w:color w:val="auto"/>
        </w:rPr>
      </w:pPr>
      <w:r>
        <w:rPr>
          <w:rFonts w:ascii="Arial" w:cs="Arial" w:eastAsia="Arial" w:hAnsi="Arial"/>
          <w:sz w:val="17"/>
          <w:szCs w:val="17"/>
          <w:color w:val="auto"/>
        </w:rPr>
        <w:t>Lisa Colleran</w:t>
      </w:r>
      <w:r>
        <w:rPr>
          <w:rFonts w:ascii="Arial" w:cs="Arial" w:eastAsia="Arial" w:hAnsi="Arial"/>
          <w:sz w:val="25"/>
          <w:szCs w:val="25"/>
          <w:color w:val="auto"/>
          <w:vertAlign w:val="superscript"/>
        </w:rPr>
        <w:t>(14)</w:t>
      </w:r>
    </w:p>
    <w:p>
      <w:pPr>
        <w:ind w:left="1260"/>
        <w:spacing w:after="0" w:line="225" w:lineRule="auto"/>
        <w:rPr>
          <w:sz w:val="20"/>
          <w:szCs w:val="20"/>
          <w:color w:val="auto"/>
        </w:rPr>
      </w:pPr>
      <w:r>
        <w:rPr>
          <w:rFonts w:ascii="Arial" w:cs="Arial" w:eastAsia="Arial" w:hAnsi="Arial"/>
          <w:sz w:val="17"/>
          <w:szCs w:val="17"/>
          <w:color w:val="auto"/>
        </w:rPr>
        <w:t>Doug Evans</w:t>
      </w:r>
      <w:r>
        <w:rPr>
          <w:rFonts w:ascii="Arial" w:cs="Arial" w:eastAsia="Arial" w:hAnsi="Arial"/>
          <w:sz w:val="25"/>
          <w:szCs w:val="25"/>
          <w:color w:val="auto"/>
          <w:vertAlign w:val="superscript"/>
        </w:rPr>
        <w:t>(15)</w:t>
      </w:r>
    </w:p>
    <w:p>
      <w:pPr>
        <w:spacing w:after="0" w:line="1" w:lineRule="exact"/>
        <w:rPr>
          <w:sz w:val="20"/>
          <w:szCs w:val="20"/>
          <w:color w:val="auto"/>
        </w:rPr>
      </w:pPr>
    </w:p>
    <w:p>
      <w:pPr>
        <w:ind w:left="1440" w:hanging="170"/>
        <w:spacing w:after="0" w:line="276" w:lineRule="auto"/>
        <w:rPr>
          <w:sz w:val="20"/>
          <w:szCs w:val="20"/>
          <w:color w:val="auto"/>
        </w:rPr>
      </w:pPr>
      <w:r>
        <w:rPr>
          <w:rFonts w:ascii="Arial" w:cs="Arial" w:eastAsia="Arial" w:hAnsi="Arial"/>
          <w:sz w:val="17"/>
          <w:szCs w:val="17"/>
          <w:color w:val="auto"/>
        </w:rPr>
        <w:t>All executive officers and directors as a group (11 persons)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SHARES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686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1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PERCENTAGE BEFORE</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PERCENTAGE AFTER</w:t>
            </w:r>
          </w:p>
        </w:tc>
      </w:tr>
      <w:tr>
        <w:trPr>
          <w:trHeight w:val="190"/>
        </w:trPr>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THIS OFFERING</w:t>
            </w:r>
          </w:p>
        </w:tc>
        <w:tc>
          <w:tcPr>
            <w:tcW w:w="1560" w:type="dxa"/>
            <w:vAlign w:val="bottom"/>
          </w:tcPr>
          <w:p>
            <w:pPr>
              <w:jc w:val="right"/>
              <w:ind w:right="156"/>
              <w:spacing w:after="0"/>
              <w:rPr>
                <w:sz w:val="20"/>
                <w:szCs w:val="20"/>
                <w:color w:val="auto"/>
              </w:rPr>
            </w:pPr>
            <w:r>
              <w:rPr>
                <w:rFonts w:ascii="Arial" w:cs="Arial" w:eastAsia="Arial" w:hAnsi="Arial"/>
                <w:sz w:val="14"/>
                <w:szCs w:val="14"/>
                <w:b w:val="1"/>
                <w:bCs w:val="1"/>
                <w:color w:val="auto"/>
              </w:rPr>
              <w:t>THIS OFFERING</w:t>
            </w:r>
          </w:p>
        </w:tc>
      </w:tr>
      <w:tr>
        <w:trPr>
          <w:trHeight w:val="26"/>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475"/>
        </w:trPr>
        <w:tc>
          <w:tcPr>
            <w:tcW w:w="900" w:type="dxa"/>
            <w:vAlign w:val="bottom"/>
          </w:tcPr>
          <w:p>
            <w:pPr>
              <w:jc w:val="right"/>
              <w:spacing w:after="0"/>
              <w:rPr>
                <w:sz w:val="20"/>
                <w:szCs w:val="20"/>
                <w:color w:val="auto"/>
              </w:rPr>
            </w:pPr>
            <w:r>
              <w:rPr>
                <w:rFonts w:ascii="Arial" w:cs="Arial" w:eastAsia="Arial" w:hAnsi="Arial"/>
                <w:sz w:val="17"/>
                <w:szCs w:val="17"/>
                <w:color w:val="auto"/>
              </w:rPr>
              <w:t>1,769,196</w:t>
            </w:r>
          </w:p>
        </w:tc>
        <w:tc>
          <w:tcPr>
            <w:tcW w:w="120" w:type="dxa"/>
            <w:vAlign w:val="bottom"/>
          </w:tcPr>
          <w:p>
            <w:pPr>
              <w:spacing w:after="0"/>
              <w:rPr>
                <w:sz w:val="24"/>
                <w:szCs w:val="24"/>
                <w:color w:val="auto"/>
              </w:rPr>
            </w:pPr>
          </w:p>
        </w:tc>
        <w:tc>
          <w:tcPr>
            <w:tcW w:w="1680" w:type="dxa"/>
            <w:vAlign w:val="bottom"/>
          </w:tcPr>
          <w:p>
            <w:pPr>
              <w:jc w:val="right"/>
              <w:ind w:right="396"/>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24"/>
                <w:szCs w:val="24"/>
                <w:color w:val="auto"/>
              </w:rPr>
            </w:pPr>
          </w:p>
        </w:tc>
        <w:tc>
          <w:tcPr>
            <w:tcW w:w="1560" w:type="dxa"/>
            <w:vAlign w:val="bottom"/>
          </w:tcPr>
          <w:p>
            <w:pPr>
              <w:jc w:val="right"/>
              <w:ind w:right="336"/>
              <w:spacing w:after="0"/>
              <w:rPr>
                <w:sz w:val="20"/>
                <w:szCs w:val="20"/>
                <w:color w:val="auto"/>
              </w:rPr>
            </w:pPr>
            <w:r>
              <w:rPr>
                <w:rFonts w:ascii="Arial" w:cs="Arial" w:eastAsia="Arial" w:hAnsi="Arial"/>
                <w:sz w:val="17"/>
                <w:szCs w:val="17"/>
                <w:color w:val="auto"/>
              </w:rPr>
              <w:t>12.3%</w:t>
            </w:r>
          </w:p>
        </w:tc>
      </w:tr>
      <w:tr>
        <w:trPr>
          <w:trHeight w:val="256"/>
        </w:trPr>
        <w:tc>
          <w:tcPr>
            <w:tcW w:w="900" w:type="dxa"/>
            <w:vAlign w:val="bottom"/>
          </w:tcPr>
          <w:p>
            <w:pPr>
              <w:jc w:val="right"/>
              <w:spacing w:after="0"/>
              <w:rPr>
                <w:sz w:val="20"/>
                <w:szCs w:val="20"/>
                <w:color w:val="auto"/>
              </w:rPr>
            </w:pPr>
            <w:r>
              <w:rPr>
                <w:rFonts w:ascii="Arial" w:cs="Arial" w:eastAsia="Arial" w:hAnsi="Arial"/>
                <w:sz w:val="17"/>
                <w:szCs w:val="17"/>
                <w:color w:val="auto"/>
              </w:rPr>
              <w:t>1,139,358</w:t>
            </w:r>
          </w:p>
        </w:tc>
        <w:tc>
          <w:tcPr>
            <w:tcW w:w="120" w:type="dxa"/>
            <w:vAlign w:val="bottom"/>
          </w:tcPr>
          <w:p>
            <w:pPr>
              <w:spacing w:after="0"/>
              <w:rPr>
                <w:sz w:val="22"/>
                <w:szCs w:val="22"/>
                <w:color w:val="auto"/>
              </w:rPr>
            </w:pPr>
          </w:p>
        </w:tc>
        <w:tc>
          <w:tcPr>
            <w:tcW w:w="1680" w:type="dxa"/>
            <w:vAlign w:val="bottom"/>
          </w:tcPr>
          <w:p>
            <w:pPr>
              <w:jc w:val="right"/>
              <w:ind w:right="396"/>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2"/>
                <w:szCs w:val="22"/>
                <w:color w:val="auto"/>
              </w:rPr>
            </w:pPr>
          </w:p>
        </w:tc>
        <w:tc>
          <w:tcPr>
            <w:tcW w:w="1560" w:type="dxa"/>
            <w:vAlign w:val="bottom"/>
          </w:tcPr>
          <w:p>
            <w:pPr>
              <w:jc w:val="right"/>
              <w:ind w:right="336"/>
              <w:spacing w:after="0"/>
              <w:rPr>
                <w:sz w:val="20"/>
                <w:szCs w:val="20"/>
                <w:color w:val="auto"/>
              </w:rPr>
            </w:pPr>
            <w:r>
              <w:rPr>
                <w:rFonts w:ascii="Arial" w:cs="Arial" w:eastAsia="Arial" w:hAnsi="Arial"/>
                <w:sz w:val="17"/>
                <w:szCs w:val="17"/>
                <w:color w:val="auto"/>
              </w:rPr>
              <w:t>7.9%</w:t>
            </w:r>
          </w:p>
        </w:tc>
      </w:tr>
      <w:tr>
        <w:trPr>
          <w:trHeight w:val="257"/>
        </w:trPr>
        <w:tc>
          <w:tcPr>
            <w:tcW w:w="900" w:type="dxa"/>
            <w:vAlign w:val="bottom"/>
          </w:tcPr>
          <w:p>
            <w:pPr>
              <w:jc w:val="right"/>
              <w:spacing w:after="0"/>
              <w:rPr>
                <w:sz w:val="20"/>
                <w:szCs w:val="20"/>
                <w:color w:val="auto"/>
              </w:rPr>
            </w:pPr>
            <w:r>
              <w:rPr>
                <w:rFonts w:ascii="Arial" w:cs="Arial" w:eastAsia="Arial" w:hAnsi="Arial"/>
                <w:sz w:val="17"/>
                <w:szCs w:val="17"/>
                <w:color w:val="auto"/>
              </w:rPr>
              <w:t>769,231</w:t>
            </w:r>
          </w:p>
        </w:tc>
        <w:tc>
          <w:tcPr>
            <w:tcW w:w="120" w:type="dxa"/>
            <w:vAlign w:val="bottom"/>
          </w:tcPr>
          <w:p>
            <w:pPr>
              <w:spacing w:after="0"/>
              <w:rPr>
                <w:sz w:val="22"/>
                <w:szCs w:val="22"/>
                <w:color w:val="auto"/>
              </w:rPr>
            </w:pPr>
          </w:p>
        </w:tc>
        <w:tc>
          <w:tcPr>
            <w:tcW w:w="1680" w:type="dxa"/>
            <w:vAlign w:val="bottom"/>
          </w:tcPr>
          <w:p>
            <w:pPr>
              <w:jc w:val="right"/>
              <w:ind w:right="396"/>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22"/>
                <w:szCs w:val="22"/>
                <w:color w:val="auto"/>
              </w:rPr>
            </w:pPr>
          </w:p>
        </w:tc>
        <w:tc>
          <w:tcPr>
            <w:tcW w:w="1560" w:type="dxa"/>
            <w:vAlign w:val="bottom"/>
          </w:tcPr>
          <w:p>
            <w:pPr>
              <w:jc w:val="right"/>
              <w:ind w:right="336"/>
              <w:spacing w:after="0"/>
              <w:rPr>
                <w:sz w:val="20"/>
                <w:szCs w:val="20"/>
                <w:color w:val="auto"/>
              </w:rPr>
            </w:pPr>
            <w:r>
              <w:rPr>
                <w:rFonts w:ascii="Arial" w:cs="Arial" w:eastAsia="Arial" w:hAnsi="Arial"/>
                <w:sz w:val="17"/>
                <w:szCs w:val="17"/>
                <w:color w:val="auto"/>
              </w:rPr>
              <w:t>5.3%</w:t>
            </w:r>
          </w:p>
        </w:tc>
      </w:tr>
      <w:tr>
        <w:trPr>
          <w:trHeight w:val="257"/>
        </w:trPr>
        <w:tc>
          <w:tcPr>
            <w:tcW w:w="900" w:type="dxa"/>
            <w:vAlign w:val="bottom"/>
          </w:tcPr>
          <w:p>
            <w:pPr>
              <w:jc w:val="right"/>
              <w:spacing w:after="0"/>
              <w:rPr>
                <w:sz w:val="20"/>
                <w:szCs w:val="20"/>
                <w:color w:val="auto"/>
              </w:rPr>
            </w:pPr>
            <w:r>
              <w:rPr>
                <w:rFonts w:ascii="Arial" w:cs="Arial" w:eastAsia="Arial" w:hAnsi="Arial"/>
                <w:sz w:val="17"/>
                <w:szCs w:val="17"/>
                <w:color w:val="auto"/>
              </w:rPr>
              <w:t>3,058,267</w:t>
            </w:r>
          </w:p>
        </w:tc>
        <w:tc>
          <w:tcPr>
            <w:tcW w:w="120" w:type="dxa"/>
            <w:vAlign w:val="bottom"/>
          </w:tcPr>
          <w:p>
            <w:pPr>
              <w:spacing w:after="0"/>
              <w:rPr>
                <w:sz w:val="22"/>
                <w:szCs w:val="22"/>
                <w:color w:val="auto"/>
              </w:rPr>
            </w:pPr>
          </w:p>
        </w:tc>
        <w:tc>
          <w:tcPr>
            <w:tcW w:w="1680" w:type="dxa"/>
            <w:vAlign w:val="bottom"/>
          </w:tcPr>
          <w:p>
            <w:pPr>
              <w:jc w:val="right"/>
              <w:ind w:right="396"/>
              <w:spacing w:after="0"/>
              <w:rPr>
                <w:sz w:val="20"/>
                <w:szCs w:val="20"/>
                <w:color w:val="auto"/>
              </w:rPr>
            </w:pPr>
            <w:r>
              <w:rPr>
                <w:rFonts w:ascii="Arial" w:cs="Arial" w:eastAsia="Arial" w:hAnsi="Arial"/>
                <w:sz w:val="17"/>
                <w:szCs w:val="17"/>
                <w:color w:val="auto"/>
              </w:rPr>
              <w:t>26.7%</w:t>
            </w:r>
          </w:p>
        </w:tc>
        <w:tc>
          <w:tcPr>
            <w:tcW w:w="100" w:type="dxa"/>
            <w:vAlign w:val="bottom"/>
          </w:tcPr>
          <w:p>
            <w:pPr>
              <w:spacing w:after="0"/>
              <w:rPr>
                <w:sz w:val="22"/>
                <w:szCs w:val="22"/>
                <w:color w:val="auto"/>
              </w:rPr>
            </w:pPr>
          </w:p>
        </w:tc>
        <w:tc>
          <w:tcPr>
            <w:tcW w:w="1560" w:type="dxa"/>
            <w:vAlign w:val="bottom"/>
          </w:tcPr>
          <w:p>
            <w:pPr>
              <w:jc w:val="right"/>
              <w:ind w:right="336"/>
              <w:spacing w:after="0"/>
              <w:rPr>
                <w:sz w:val="20"/>
                <w:szCs w:val="20"/>
                <w:color w:val="auto"/>
              </w:rPr>
            </w:pPr>
            <w:r>
              <w:rPr>
                <w:rFonts w:ascii="Arial" w:cs="Arial" w:eastAsia="Arial" w:hAnsi="Arial"/>
                <w:sz w:val="17"/>
                <w:szCs w:val="17"/>
                <w:color w:val="auto"/>
              </w:rPr>
              <w:t>21.2%</w:t>
            </w:r>
          </w:p>
        </w:tc>
      </w:tr>
      <w:tr>
        <w:trPr>
          <w:trHeight w:val="459"/>
        </w:trPr>
        <w:tc>
          <w:tcPr>
            <w:tcW w:w="900" w:type="dxa"/>
            <w:vAlign w:val="bottom"/>
          </w:tcPr>
          <w:p>
            <w:pPr>
              <w:jc w:val="right"/>
              <w:spacing w:after="0"/>
              <w:rPr>
                <w:sz w:val="20"/>
                <w:szCs w:val="20"/>
                <w:color w:val="auto"/>
              </w:rPr>
            </w:pPr>
            <w:r>
              <w:rPr>
                <w:rFonts w:ascii="Arial" w:cs="Arial" w:eastAsia="Arial" w:hAnsi="Arial"/>
                <w:sz w:val="17"/>
                <w:szCs w:val="17"/>
                <w:color w:val="auto"/>
              </w:rPr>
              <w:t>618,609</w:t>
            </w:r>
          </w:p>
        </w:tc>
        <w:tc>
          <w:tcPr>
            <w:tcW w:w="120" w:type="dxa"/>
            <w:vAlign w:val="bottom"/>
          </w:tcPr>
          <w:p>
            <w:pPr>
              <w:spacing w:after="0"/>
              <w:rPr>
                <w:sz w:val="24"/>
                <w:szCs w:val="24"/>
                <w:color w:val="auto"/>
              </w:rPr>
            </w:pPr>
          </w:p>
        </w:tc>
        <w:tc>
          <w:tcPr>
            <w:tcW w:w="1680" w:type="dxa"/>
            <w:vAlign w:val="bottom"/>
          </w:tcPr>
          <w:p>
            <w:pPr>
              <w:jc w:val="right"/>
              <w:ind w:right="396"/>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24"/>
                <w:szCs w:val="24"/>
                <w:color w:val="auto"/>
              </w:rPr>
            </w:pPr>
          </w:p>
        </w:tc>
        <w:tc>
          <w:tcPr>
            <w:tcW w:w="1560" w:type="dxa"/>
            <w:vAlign w:val="bottom"/>
          </w:tcPr>
          <w:p>
            <w:pPr>
              <w:jc w:val="right"/>
              <w:ind w:right="336"/>
              <w:spacing w:after="0"/>
              <w:rPr>
                <w:sz w:val="20"/>
                <w:szCs w:val="20"/>
                <w:color w:val="auto"/>
              </w:rPr>
            </w:pPr>
            <w:r>
              <w:rPr>
                <w:rFonts w:ascii="Arial" w:cs="Arial" w:eastAsia="Arial" w:hAnsi="Arial"/>
                <w:sz w:val="17"/>
                <w:szCs w:val="17"/>
                <w:color w:val="auto"/>
              </w:rPr>
              <w:t>4.3%</w:t>
            </w:r>
          </w:p>
        </w:tc>
      </w:tr>
      <w:tr>
        <w:trPr>
          <w:trHeight w:val="257"/>
        </w:trPr>
        <w:tc>
          <w:tcPr>
            <w:tcW w:w="900" w:type="dxa"/>
            <w:vAlign w:val="bottom"/>
          </w:tcPr>
          <w:p>
            <w:pPr>
              <w:jc w:val="right"/>
              <w:spacing w:after="0"/>
              <w:rPr>
                <w:sz w:val="20"/>
                <w:szCs w:val="20"/>
                <w:color w:val="auto"/>
              </w:rPr>
            </w:pPr>
            <w:r>
              <w:rPr>
                <w:rFonts w:ascii="Arial" w:cs="Arial" w:eastAsia="Arial" w:hAnsi="Arial"/>
                <w:sz w:val="17"/>
                <w:szCs w:val="17"/>
                <w:color w:val="auto"/>
              </w:rPr>
              <w:t>774,056</w:t>
            </w:r>
          </w:p>
        </w:tc>
        <w:tc>
          <w:tcPr>
            <w:tcW w:w="120" w:type="dxa"/>
            <w:vAlign w:val="bottom"/>
          </w:tcPr>
          <w:p>
            <w:pPr>
              <w:spacing w:after="0"/>
              <w:rPr>
                <w:sz w:val="22"/>
                <w:szCs w:val="22"/>
                <w:color w:val="auto"/>
              </w:rPr>
            </w:pPr>
          </w:p>
        </w:tc>
        <w:tc>
          <w:tcPr>
            <w:tcW w:w="1680" w:type="dxa"/>
            <w:vAlign w:val="bottom"/>
          </w:tcPr>
          <w:p>
            <w:pPr>
              <w:jc w:val="right"/>
              <w:ind w:right="396"/>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2"/>
                <w:szCs w:val="22"/>
                <w:color w:val="auto"/>
              </w:rPr>
            </w:pPr>
          </w:p>
        </w:tc>
        <w:tc>
          <w:tcPr>
            <w:tcW w:w="1560" w:type="dxa"/>
            <w:vAlign w:val="bottom"/>
          </w:tcPr>
          <w:p>
            <w:pPr>
              <w:jc w:val="right"/>
              <w:ind w:right="336"/>
              <w:spacing w:after="0"/>
              <w:rPr>
                <w:sz w:val="20"/>
                <w:szCs w:val="20"/>
                <w:color w:val="auto"/>
              </w:rPr>
            </w:pPr>
            <w:r>
              <w:rPr>
                <w:rFonts w:ascii="Arial" w:cs="Arial" w:eastAsia="Arial" w:hAnsi="Arial"/>
                <w:sz w:val="17"/>
                <w:szCs w:val="17"/>
                <w:color w:val="auto"/>
              </w:rPr>
              <w:t>5.4%</w:t>
            </w:r>
          </w:p>
        </w:tc>
      </w:tr>
      <w:tr>
        <w:trPr>
          <w:trHeight w:val="499"/>
        </w:trPr>
        <w:tc>
          <w:tcPr>
            <w:tcW w:w="900" w:type="dxa"/>
            <w:vAlign w:val="bottom"/>
          </w:tcPr>
          <w:p>
            <w:pPr>
              <w:jc w:val="right"/>
              <w:spacing w:after="0"/>
              <w:rPr>
                <w:sz w:val="20"/>
                <w:szCs w:val="20"/>
                <w:color w:val="auto"/>
              </w:rPr>
            </w:pPr>
            <w:r>
              <w:rPr>
                <w:rFonts w:ascii="Arial" w:cs="Arial" w:eastAsia="Arial" w:hAnsi="Arial"/>
                <w:sz w:val="17"/>
                <w:szCs w:val="17"/>
                <w:color w:val="auto"/>
              </w:rPr>
              <w:t>287,657</w:t>
            </w:r>
          </w:p>
        </w:tc>
        <w:tc>
          <w:tcPr>
            <w:tcW w:w="120" w:type="dxa"/>
            <w:vAlign w:val="bottom"/>
          </w:tcPr>
          <w:p>
            <w:pPr>
              <w:spacing w:after="0"/>
              <w:rPr>
                <w:sz w:val="24"/>
                <w:szCs w:val="24"/>
                <w:color w:val="auto"/>
              </w:rPr>
            </w:pPr>
          </w:p>
        </w:tc>
        <w:tc>
          <w:tcPr>
            <w:tcW w:w="1680" w:type="dxa"/>
            <w:vAlign w:val="bottom"/>
          </w:tcPr>
          <w:p>
            <w:pPr>
              <w:jc w:val="right"/>
              <w:ind w:right="396"/>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4"/>
                <w:szCs w:val="24"/>
                <w:color w:val="auto"/>
              </w:rPr>
            </w:pPr>
          </w:p>
        </w:tc>
        <w:tc>
          <w:tcPr>
            <w:tcW w:w="1560" w:type="dxa"/>
            <w:vAlign w:val="bottom"/>
          </w:tcPr>
          <w:p>
            <w:pPr>
              <w:jc w:val="right"/>
              <w:ind w:right="336"/>
              <w:spacing w:after="0"/>
              <w:rPr>
                <w:sz w:val="20"/>
                <w:szCs w:val="20"/>
                <w:color w:val="auto"/>
              </w:rPr>
            </w:pPr>
            <w:r>
              <w:rPr>
                <w:rFonts w:ascii="Arial" w:cs="Arial" w:eastAsia="Arial" w:hAnsi="Arial"/>
                <w:sz w:val="17"/>
                <w:szCs w:val="17"/>
                <w:color w:val="auto"/>
              </w:rPr>
              <w:t>2.0%</w:t>
            </w:r>
          </w:p>
        </w:tc>
      </w:tr>
      <w:tr>
        <w:trPr>
          <w:trHeight w:val="257"/>
        </w:trPr>
        <w:tc>
          <w:tcPr>
            <w:tcW w:w="900" w:type="dxa"/>
            <w:vAlign w:val="bottom"/>
          </w:tcPr>
          <w:p>
            <w:pPr>
              <w:jc w:val="right"/>
              <w:spacing w:after="0"/>
              <w:rPr>
                <w:sz w:val="20"/>
                <w:szCs w:val="20"/>
                <w:color w:val="auto"/>
              </w:rPr>
            </w:pPr>
            <w:r>
              <w:rPr>
                <w:rFonts w:ascii="Arial" w:cs="Arial" w:eastAsia="Arial" w:hAnsi="Arial"/>
                <w:sz w:val="17"/>
                <w:szCs w:val="17"/>
                <w:color w:val="auto"/>
              </w:rPr>
              <w:t>96,196</w:t>
            </w:r>
          </w:p>
        </w:tc>
        <w:tc>
          <w:tcPr>
            <w:tcW w:w="120" w:type="dxa"/>
            <w:vAlign w:val="bottom"/>
          </w:tcPr>
          <w:p>
            <w:pPr>
              <w:spacing w:after="0"/>
              <w:rPr>
                <w:sz w:val="22"/>
                <w:szCs w:val="22"/>
                <w:color w:val="auto"/>
              </w:rPr>
            </w:pPr>
          </w:p>
        </w:tc>
        <w:tc>
          <w:tcPr>
            <w:tcW w:w="1680" w:type="dxa"/>
            <w:vAlign w:val="bottom"/>
          </w:tcPr>
          <w:p>
            <w:pPr>
              <w:jc w:val="right"/>
              <w:ind w:right="55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560" w:type="dxa"/>
            <w:vAlign w:val="bottom"/>
          </w:tcPr>
          <w:p>
            <w:pPr>
              <w:jc w:val="right"/>
              <w:ind w:right="496"/>
              <w:spacing w:after="0"/>
              <w:rPr>
                <w:sz w:val="20"/>
                <w:szCs w:val="20"/>
                <w:color w:val="auto"/>
              </w:rPr>
            </w:pPr>
            <w:r>
              <w:rPr>
                <w:rFonts w:ascii="Arial" w:cs="Arial" w:eastAsia="Arial" w:hAnsi="Arial"/>
                <w:sz w:val="17"/>
                <w:szCs w:val="17"/>
                <w:color w:val="auto"/>
              </w:rPr>
              <w:t>*</w:t>
            </w:r>
          </w:p>
        </w:tc>
      </w:tr>
      <w:tr>
        <w:trPr>
          <w:trHeight w:val="256"/>
        </w:trPr>
        <w:tc>
          <w:tcPr>
            <w:tcW w:w="900" w:type="dxa"/>
            <w:vAlign w:val="bottom"/>
          </w:tcPr>
          <w:p>
            <w:pPr>
              <w:jc w:val="right"/>
              <w:spacing w:after="0"/>
              <w:rPr>
                <w:sz w:val="20"/>
                <w:szCs w:val="20"/>
                <w:color w:val="auto"/>
              </w:rPr>
            </w:pPr>
            <w:r>
              <w:rPr>
                <w:rFonts w:ascii="Arial" w:cs="Arial" w:eastAsia="Arial" w:hAnsi="Arial"/>
                <w:sz w:val="17"/>
                <w:szCs w:val="17"/>
                <w:color w:val="auto"/>
              </w:rPr>
              <w:t>48,697</w:t>
            </w:r>
          </w:p>
        </w:tc>
        <w:tc>
          <w:tcPr>
            <w:tcW w:w="120" w:type="dxa"/>
            <w:vAlign w:val="bottom"/>
          </w:tcPr>
          <w:p>
            <w:pPr>
              <w:spacing w:after="0"/>
              <w:rPr>
                <w:sz w:val="22"/>
                <w:szCs w:val="22"/>
                <w:color w:val="auto"/>
              </w:rPr>
            </w:pPr>
          </w:p>
        </w:tc>
        <w:tc>
          <w:tcPr>
            <w:tcW w:w="1680" w:type="dxa"/>
            <w:vAlign w:val="bottom"/>
          </w:tcPr>
          <w:p>
            <w:pPr>
              <w:jc w:val="right"/>
              <w:ind w:right="55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560" w:type="dxa"/>
            <w:vAlign w:val="bottom"/>
          </w:tcPr>
          <w:p>
            <w:pPr>
              <w:jc w:val="right"/>
              <w:ind w:right="496"/>
              <w:spacing w:after="0"/>
              <w:rPr>
                <w:sz w:val="20"/>
                <w:szCs w:val="20"/>
                <w:color w:val="auto"/>
              </w:rPr>
            </w:pPr>
            <w:r>
              <w:rPr>
                <w:rFonts w:ascii="Arial" w:cs="Arial" w:eastAsia="Arial" w:hAnsi="Arial"/>
                <w:sz w:val="17"/>
                <w:szCs w:val="17"/>
                <w:color w:val="auto"/>
              </w:rPr>
              <w:t>*</w:t>
            </w:r>
          </w:p>
        </w:tc>
      </w:tr>
      <w:tr>
        <w:trPr>
          <w:trHeight w:val="257"/>
        </w:trPr>
        <w:tc>
          <w:tcPr>
            <w:tcW w:w="900" w:type="dxa"/>
            <w:vAlign w:val="bottom"/>
          </w:tcPr>
          <w:p>
            <w:pPr>
              <w:jc w:val="right"/>
              <w:spacing w:after="0"/>
              <w:rPr>
                <w:sz w:val="20"/>
                <w:szCs w:val="20"/>
                <w:color w:val="auto"/>
              </w:rPr>
            </w:pPr>
            <w:r>
              <w:rPr>
                <w:rFonts w:ascii="Arial" w:cs="Arial" w:eastAsia="Arial" w:hAnsi="Arial"/>
                <w:sz w:val="17"/>
                <w:szCs w:val="17"/>
                <w:color w:val="auto"/>
              </w:rPr>
              <w:t>10,282</w:t>
            </w:r>
          </w:p>
        </w:tc>
        <w:tc>
          <w:tcPr>
            <w:tcW w:w="120" w:type="dxa"/>
            <w:vAlign w:val="bottom"/>
          </w:tcPr>
          <w:p>
            <w:pPr>
              <w:spacing w:after="0"/>
              <w:rPr>
                <w:sz w:val="22"/>
                <w:szCs w:val="22"/>
                <w:color w:val="auto"/>
              </w:rPr>
            </w:pPr>
          </w:p>
        </w:tc>
        <w:tc>
          <w:tcPr>
            <w:tcW w:w="1680" w:type="dxa"/>
            <w:vAlign w:val="bottom"/>
          </w:tcPr>
          <w:p>
            <w:pPr>
              <w:jc w:val="right"/>
              <w:ind w:right="55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560" w:type="dxa"/>
            <w:vAlign w:val="bottom"/>
          </w:tcPr>
          <w:p>
            <w:pPr>
              <w:jc w:val="right"/>
              <w:ind w:right="496"/>
              <w:spacing w:after="0"/>
              <w:rPr>
                <w:sz w:val="20"/>
                <w:szCs w:val="20"/>
                <w:color w:val="auto"/>
              </w:rPr>
            </w:pPr>
            <w:r>
              <w:rPr>
                <w:rFonts w:ascii="Arial" w:cs="Arial" w:eastAsia="Arial" w:hAnsi="Arial"/>
                <w:sz w:val="17"/>
                <w:szCs w:val="17"/>
                <w:color w:val="auto"/>
              </w:rPr>
              <w:t>*</w:t>
            </w:r>
          </w:p>
        </w:tc>
      </w:tr>
      <w:tr>
        <w:trPr>
          <w:trHeight w:val="257"/>
        </w:trPr>
        <w:tc>
          <w:tcPr>
            <w:tcW w:w="900" w:type="dxa"/>
            <w:vAlign w:val="bottom"/>
          </w:tcPr>
          <w:p>
            <w:pPr>
              <w:jc w:val="right"/>
              <w:spacing w:after="0"/>
              <w:rPr>
                <w:sz w:val="20"/>
                <w:szCs w:val="20"/>
                <w:color w:val="auto"/>
              </w:rPr>
            </w:pPr>
            <w:r>
              <w:rPr>
                <w:rFonts w:ascii="Arial" w:cs="Arial" w:eastAsia="Arial" w:hAnsi="Arial"/>
                <w:sz w:val="17"/>
                <w:szCs w:val="17"/>
                <w:color w:val="auto"/>
              </w:rPr>
              <w:t>1,999</w:t>
            </w:r>
          </w:p>
        </w:tc>
        <w:tc>
          <w:tcPr>
            <w:tcW w:w="120" w:type="dxa"/>
            <w:vAlign w:val="bottom"/>
          </w:tcPr>
          <w:p>
            <w:pPr>
              <w:spacing w:after="0"/>
              <w:rPr>
                <w:sz w:val="22"/>
                <w:szCs w:val="22"/>
                <w:color w:val="auto"/>
              </w:rPr>
            </w:pPr>
          </w:p>
        </w:tc>
        <w:tc>
          <w:tcPr>
            <w:tcW w:w="1680" w:type="dxa"/>
            <w:vAlign w:val="bottom"/>
          </w:tcPr>
          <w:p>
            <w:pPr>
              <w:jc w:val="right"/>
              <w:ind w:right="55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560" w:type="dxa"/>
            <w:vAlign w:val="bottom"/>
          </w:tcPr>
          <w:p>
            <w:pPr>
              <w:jc w:val="right"/>
              <w:ind w:right="496"/>
              <w:spacing w:after="0"/>
              <w:rPr>
                <w:sz w:val="20"/>
                <w:szCs w:val="20"/>
                <w:color w:val="auto"/>
              </w:rPr>
            </w:pPr>
            <w:r>
              <w:rPr>
                <w:rFonts w:ascii="Arial" w:cs="Arial" w:eastAsia="Arial" w:hAnsi="Arial"/>
                <w:sz w:val="17"/>
                <w:szCs w:val="17"/>
                <w:color w:val="auto"/>
              </w:rPr>
              <w:t>*</w:t>
            </w:r>
          </w:p>
        </w:tc>
      </w:tr>
      <w:tr>
        <w:trPr>
          <w:trHeight w:val="256"/>
        </w:trPr>
        <w:tc>
          <w:tcPr>
            <w:tcW w:w="900" w:type="dxa"/>
            <w:vAlign w:val="bottom"/>
          </w:tcPr>
          <w:p>
            <w:pPr>
              <w:jc w:val="right"/>
              <w:spacing w:after="0"/>
              <w:rPr>
                <w:sz w:val="20"/>
                <w:szCs w:val="20"/>
                <w:color w:val="auto"/>
              </w:rPr>
            </w:pPr>
            <w:r>
              <w:rPr>
                <w:rFonts w:ascii="Arial" w:cs="Arial" w:eastAsia="Arial" w:hAnsi="Arial"/>
                <w:sz w:val="17"/>
                <w:szCs w:val="17"/>
                <w:color w:val="auto"/>
              </w:rPr>
              <w:t>1,770,528</w:t>
            </w:r>
          </w:p>
        </w:tc>
        <w:tc>
          <w:tcPr>
            <w:tcW w:w="120" w:type="dxa"/>
            <w:vAlign w:val="bottom"/>
          </w:tcPr>
          <w:p>
            <w:pPr>
              <w:spacing w:after="0"/>
              <w:rPr>
                <w:sz w:val="22"/>
                <w:szCs w:val="22"/>
                <w:color w:val="auto"/>
              </w:rPr>
            </w:pPr>
          </w:p>
        </w:tc>
        <w:tc>
          <w:tcPr>
            <w:tcW w:w="1680" w:type="dxa"/>
            <w:vAlign w:val="bottom"/>
          </w:tcPr>
          <w:p>
            <w:pPr>
              <w:jc w:val="right"/>
              <w:ind w:right="396"/>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22"/>
                <w:szCs w:val="22"/>
                <w:color w:val="auto"/>
              </w:rPr>
            </w:pPr>
          </w:p>
        </w:tc>
        <w:tc>
          <w:tcPr>
            <w:tcW w:w="1560" w:type="dxa"/>
            <w:vAlign w:val="bottom"/>
          </w:tcPr>
          <w:p>
            <w:pPr>
              <w:jc w:val="right"/>
              <w:ind w:right="336"/>
              <w:spacing w:after="0"/>
              <w:rPr>
                <w:sz w:val="20"/>
                <w:szCs w:val="20"/>
                <w:color w:val="auto"/>
              </w:rPr>
            </w:pPr>
            <w:r>
              <w:rPr>
                <w:rFonts w:ascii="Arial" w:cs="Arial" w:eastAsia="Arial" w:hAnsi="Arial"/>
                <w:sz w:val="17"/>
                <w:szCs w:val="17"/>
                <w:color w:val="auto"/>
              </w:rPr>
              <w:t>12.3%</w:t>
            </w:r>
          </w:p>
        </w:tc>
      </w:tr>
      <w:tr>
        <w:trPr>
          <w:trHeight w:val="257"/>
        </w:trPr>
        <w:tc>
          <w:tcPr>
            <w:tcW w:w="900" w:type="dxa"/>
            <w:vAlign w:val="bottom"/>
          </w:tcPr>
          <w:p>
            <w:pPr>
              <w:jc w:val="right"/>
              <w:spacing w:after="0"/>
              <w:rPr>
                <w:sz w:val="20"/>
                <w:szCs w:val="20"/>
                <w:color w:val="auto"/>
              </w:rPr>
            </w:pPr>
            <w:r>
              <w:rPr>
                <w:rFonts w:ascii="Arial" w:cs="Arial" w:eastAsia="Arial" w:hAnsi="Arial"/>
                <w:sz w:val="17"/>
                <w:szCs w:val="17"/>
                <w:color w:val="auto"/>
              </w:rPr>
              <w:t>19,064</w:t>
            </w:r>
          </w:p>
        </w:tc>
        <w:tc>
          <w:tcPr>
            <w:tcW w:w="120" w:type="dxa"/>
            <w:vAlign w:val="bottom"/>
          </w:tcPr>
          <w:p>
            <w:pPr>
              <w:spacing w:after="0"/>
              <w:rPr>
                <w:sz w:val="22"/>
                <w:szCs w:val="22"/>
                <w:color w:val="auto"/>
              </w:rPr>
            </w:pPr>
          </w:p>
        </w:tc>
        <w:tc>
          <w:tcPr>
            <w:tcW w:w="1680" w:type="dxa"/>
            <w:vAlign w:val="bottom"/>
          </w:tcPr>
          <w:p>
            <w:pPr>
              <w:jc w:val="right"/>
              <w:ind w:right="55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560" w:type="dxa"/>
            <w:vAlign w:val="bottom"/>
          </w:tcPr>
          <w:p>
            <w:pPr>
              <w:jc w:val="right"/>
              <w:ind w:right="496"/>
              <w:spacing w:after="0"/>
              <w:rPr>
                <w:sz w:val="20"/>
                <w:szCs w:val="20"/>
                <w:color w:val="auto"/>
              </w:rPr>
            </w:pPr>
            <w:r>
              <w:rPr>
                <w:rFonts w:ascii="Arial" w:cs="Arial" w:eastAsia="Arial" w:hAnsi="Arial"/>
                <w:sz w:val="17"/>
                <w:szCs w:val="17"/>
                <w:color w:val="auto"/>
              </w:rPr>
              <w:t>*</w:t>
            </w:r>
          </w:p>
        </w:tc>
      </w:tr>
      <w:tr>
        <w:trPr>
          <w:trHeight w:val="256"/>
        </w:trPr>
        <w:tc>
          <w:tcPr>
            <w:tcW w:w="900" w:type="dxa"/>
            <w:vAlign w:val="bottom"/>
          </w:tcPr>
          <w:p>
            <w:pPr>
              <w:jc w:val="right"/>
              <w:spacing w:after="0"/>
              <w:rPr>
                <w:sz w:val="20"/>
                <w:szCs w:val="20"/>
                <w:color w:val="auto"/>
              </w:rPr>
            </w:pPr>
            <w:r>
              <w:rPr>
                <w:rFonts w:ascii="Arial" w:cs="Arial" w:eastAsia="Arial" w:hAnsi="Arial"/>
                <w:sz w:val="17"/>
                <w:szCs w:val="17"/>
                <w:color w:val="auto"/>
              </w:rPr>
              <w:t>666</w:t>
            </w:r>
          </w:p>
        </w:tc>
        <w:tc>
          <w:tcPr>
            <w:tcW w:w="120" w:type="dxa"/>
            <w:vAlign w:val="bottom"/>
          </w:tcPr>
          <w:p>
            <w:pPr>
              <w:spacing w:after="0"/>
              <w:rPr>
                <w:sz w:val="22"/>
                <w:szCs w:val="22"/>
                <w:color w:val="auto"/>
              </w:rPr>
            </w:pPr>
          </w:p>
        </w:tc>
        <w:tc>
          <w:tcPr>
            <w:tcW w:w="1680" w:type="dxa"/>
            <w:vAlign w:val="bottom"/>
          </w:tcPr>
          <w:p>
            <w:pPr>
              <w:jc w:val="right"/>
              <w:ind w:right="55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560" w:type="dxa"/>
            <w:vAlign w:val="bottom"/>
          </w:tcPr>
          <w:p>
            <w:pPr>
              <w:jc w:val="right"/>
              <w:ind w:right="496"/>
              <w:spacing w:after="0"/>
              <w:rPr>
                <w:sz w:val="20"/>
                <w:szCs w:val="20"/>
                <w:color w:val="auto"/>
              </w:rPr>
            </w:pPr>
            <w:r>
              <w:rPr>
                <w:rFonts w:ascii="Arial" w:cs="Arial" w:eastAsia="Arial" w:hAnsi="Arial"/>
                <w:sz w:val="17"/>
                <w:szCs w:val="17"/>
                <w:color w:val="auto"/>
              </w:rPr>
              <w:t>*</w:t>
            </w:r>
          </w:p>
        </w:tc>
      </w:tr>
      <w:tr>
        <w:trPr>
          <w:trHeight w:val="257"/>
        </w:trPr>
        <w:tc>
          <w:tcPr>
            <w:tcW w:w="900" w:type="dxa"/>
            <w:vAlign w:val="bottom"/>
          </w:tcPr>
          <w:p>
            <w:pPr>
              <w:jc w:val="right"/>
              <w:spacing w:after="0"/>
              <w:rPr>
                <w:sz w:val="20"/>
                <w:szCs w:val="20"/>
                <w:color w:val="auto"/>
              </w:rPr>
            </w:pPr>
            <w:r>
              <w:rPr>
                <w:rFonts w:ascii="Arial" w:cs="Arial" w:eastAsia="Arial" w:hAnsi="Arial"/>
                <w:sz w:val="17"/>
                <w:szCs w:val="17"/>
                <w:color w:val="auto"/>
              </w:rPr>
              <w:t>666</w:t>
            </w:r>
          </w:p>
        </w:tc>
        <w:tc>
          <w:tcPr>
            <w:tcW w:w="120" w:type="dxa"/>
            <w:vAlign w:val="bottom"/>
          </w:tcPr>
          <w:p>
            <w:pPr>
              <w:spacing w:after="0"/>
              <w:rPr>
                <w:sz w:val="22"/>
                <w:szCs w:val="22"/>
                <w:color w:val="auto"/>
              </w:rPr>
            </w:pPr>
          </w:p>
        </w:tc>
        <w:tc>
          <w:tcPr>
            <w:tcW w:w="1680" w:type="dxa"/>
            <w:vAlign w:val="bottom"/>
          </w:tcPr>
          <w:p>
            <w:pPr>
              <w:jc w:val="right"/>
              <w:ind w:right="55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560" w:type="dxa"/>
            <w:vAlign w:val="bottom"/>
          </w:tcPr>
          <w:p>
            <w:pPr>
              <w:jc w:val="right"/>
              <w:ind w:right="496"/>
              <w:spacing w:after="0"/>
              <w:rPr>
                <w:sz w:val="20"/>
                <w:szCs w:val="20"/>
                <w:color w:val="auto"/>
              </w:rPr>
            </w:pPr>
            <w:r>
              <w:rPr>
                <w:rFonts w:ascii="Arial" w:cs="Arial" w:eastAsia="Arial" w:hAnsi="Arial"/>
                <w:sz w:val="17"/>
                <w:szCs w:val="17"/>
                <w:color w:val="auto"/>
              </w:rPr>
              <w:t>*</w:t>
            </w:r>
          </w:p>
        </w:tc>
      </w:tr>
      <w:tr>
        <w:trPr>
          <w:trHeight w:val="445"/>
        </w:trPr>
        <w:tc>
          <w:tcPr>
            <w:tcW w:w="900" w:type="dxa"/>
            <w:vAlign w:val="bottom"/>
          </w:tcPr>
          <w:p>
            <w:pPr>
              <w:jc w:val="right"/>
              <w:spacing w:after="0"/>
              <w:rPr>
                <w:sz w:val="20"/>
                <w:szCs w:val="20"/>
                <w:color w:val="auto"/>
              </w:rPr>
            </w:pPr>
            <w:r>
              <w:rPr>
                <w:rFonts w:ascii="Arial" w:cs="Arial" w:eastAsia="Arial" w:hAnsi="Arial"/>
                <w:sz w:val="17"/>
                <w:szCs w:val="17"/>
                <w:color w:val="auto"/>
              </w:rPr>
              <w:t>2,253,369</w:t>
            </w:r>
          </w:p>
        </w:tc>
        <w:tc>
          <w:tcPr>
            <w:tcW w:w="120" w:type="dxa"/>
            <w:vAlign w:val="bottom"/>
          </w:tcPr>
          <w:p>
            <w:pPr>
              <w:spacing w:after="0"/>
              <w:rPr>
                <w:sz w:val="24"/>
                <w:szCs w:val="24"/>
                <w:color w:val="auto"/>
              </w:rPr>
            </w:pPr>
          </w:p>
        </w:tc>
        <w:tc>
          <w:tcPr>
            <w:tcW w:w="1680" w:type="dxa"/>
            <w:vAlign w:val="bottom"/>
          </w:tcPr>
          <w:p>
            <w:pPr>
              <w:jc w:val="right"/>
              <w:ind w:right="396"/>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24"/>
                <w:szCs w:val="24"/>
                <w:color w:val="auto"/>
              </w:rPr>
            </w:pPr>
          </w:p>
        </w:tc>
        <w:tc>
          <w:tcPr>
            <w:tcW w:w="1560" w:type="dxa"/>
            <w:vAlign w:val="bottom"/>
          </w:tcPr>
          <w:p>
            <w:pPr>
              <w:jc w:val="right"/>
              <w:ind w:right="336"/>
              <w:spacing w:after="0"/>
              <w:rPr>
                <w:sz w:val="20"/>
                <w:szCs w:val="20"/>
                <w:color w:val="auto"/>
              </w:rPr>
            </w:pPr>
            <w:r>
              <w:rPr>
                <w:rFonts w:ascii="Arial" w:cs="Arial" w:eastAsia="Arial" w:hAnsi="Arial"/>
                <w:sz w:val="17"/>
                <w:szCs w:val="17"/>
                <w:color w:val="auto"/>
              </w:rPr>
              <w:t>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-2842895</wp:posOffset>
            </wp:positionV>
            <wp:extent cx="521208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-2517140</wp:posOffset>
            </wp:positionV>
            <wp:extent cx="5212080"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-2062480</wp:posOffset>
            </wp:positionV>
            <wp:extent cx="521208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-1745615</wp:posOffset>
            </wp:positionV>
            <wp:extent cx="521208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-1419860</wp:posOffset>
            </wp:positionV>
            <wp:extent cx="5212080"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-1094105</wp:posOffset>
            </wp:positionV>
            <wp:extent cx="521208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-768350</wp:posOffset>
            </wp:positionV>
            <wp:extent cx="521208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-442595</wp:posOffset>
            </wp:positionV>
            <wp:extent cx="5212080"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105410</wp:posOffset>
            </wp:positionV>
            <wp:extent cx="52120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-3159760</wp:posOffset>
            </wp:positionV>
            <wp:extent cx="521208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5000" w:space="120"/>
            <w:col w:w="5019"/>
          </w:cols>
          <w:pgMar w:left="320" w:top="131" w:right="1440" w:bottom="1440" w:gutter="0" w:footer="0" w:header="0"/>
          <w:type w:val="continuous"/>
        </w:sectPr>
      </w:pPr>
    </w:p>
    <w:p>
      <w:pPr>
        <w:ind w:left="1620" w:hanging="358"/>
        <w:spacing w:after="0"/>
        <w:tabs>
          <w:tab w:leader="none" w:pos="16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80" w:lineRule="exact"/>
        <w:rPr>
          <w:sz w:val="20"/>
          <w:szCs w:val="20"/>
          <w:color w:val="auto"/>
        </w:rPr>
      </w:pPr>
    </w:p>
    <w:p>
      <w:pPr>
        <w:ind w:left="1620" w:right="679" w:hanging="358"/>
        <w:spacing w:after="0" w:line="261" w:lineRule="auto"/>
        <w:tabs>
          <w:tab w:leader="none" w:pos="1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Consists of (i) 1,751,100 shares of common stock and (ii) 18,096 shares of common stock issuable upon exercise of warrants to purchase common stock held by Quaker BioVentures, II, L.P. Quaker BioVentures Capital II, L.P. serves as the partner of Quaker BioVentures, II, L.P. Quaker BioVentures Capital II, LLC serves as the general partner of Quaker BioVentures Capital II, L.P and Quaker BioVentures Capital II, LLC may be deemed to have beneficial ownership of the shares held by Quaker BioVentures II, L.P. Quaker Bioventures Capital II, LLC exercises this investment and voting power through a management committee comprised of Adele C. Oliva, Richard S. Kollender, P. Sherrill Neff, and Ira M. Lubert. Each of Quaker Bioventures II, LLC, Adele C. Oliva, Richard S. Kollender, P. Sherrill Neff, and Ira M. Lubert disclaims beneficial ownership of the shares held by Quaker BioVentures , II, L.P., except to the extent of its or his pecuniary interest therein. The address for Quaker BioVentures II, L.P. is 150 Monument Road, Suite 207, Bala Cynwyd, PA 19004.</w:t>
      </w:r>
    </w:p>
    <w:p>
      <w:pPr>
        <w:spacing w:after="0" w:line="200" w:lineRule="exact"/>
        <w:rPr>
          <w:sz w:val="20"/>
          <w:szCs w:val="20"/>
          <w:color w:val="auto"/>
        </w:rPr>
      </w:pPr>
    </w:p>
    <w:p>
      <w:pPr>
        <w:spacing w:after="0" w:line="22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620" w:right="839" w:hanging="358"/>
        <w:spacing w:after="0" w:line="239" w:lineRule="auto"/>
        <w:tabs>
          <w:tab w:leader="none" w:pos="16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Consists of 1,139,358 shares of common stock held by RTW Master Fund, Ltd. and one or more private funds (together with RTW Master Fund, Ltd., collectively, the “Funds”). The Funds are managed by RTW Investments, LP, or the Adviser. The Advisor, in its capacity as the investment manager of the Funds, has the power to vote and the power to direct the disposition of the shares held by the Funds. Roderick Wong is the Managing Partner of the Advisor and may be deemed to beneficially own the shares held by the Funds. The address of RTW Investments, LP is 412 West 15th Street, Floor 9, New York, New York 10011.</w:t>
      </w:r>
    </w:p>
    <w:p>
      <w:pPr>
        <w:spacing w:after="0" w:line="92" w:lineRule="exact"/>
        <w:rPr>
          <w:rFonts w:ascii="Arial" w:cs="Arial" w:eastAsia="Arial" w:hAnsi="Arial"/>
          <w:sz w:val="13"/>
          <w:szCs w:val="13"/>
          <w:color w:val="auto"/>
        </w:rPr>
      </w:pPr>
    </w:p>
    <w:p>
      <w:pPr>
        <w:ind w:left="1620" w:right="679" w:hanging="358"/>
        <w:spacing w:after="0" w:line="239" w:lineRule="auto"/>
        <w:tabs>
          <w:tab w:leader="none" w:pos="16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Consists of 769,231 shares of common stock held by EW Healthcare Partners 2, L.P., or EWHP, and EW Healthcare Partners 2-A, L.P. , or EWHPA, and together with EWHP, the Funds. The Funds are managed by EW Healthcare Partners 2 GP, L.P., or EWHP2 GP, and EW Healthcare Partners 2-UGP, LLC, or EWHP2 General Partner, and, together with EWHP2 GP, the Managers, and as a result may be deemed to have beneficial ownership over the shares held by the Funds. The Managers exercise investment and voting power through a management committee comprised of Martin P. Sutter, R. Scott Barry, Ronald Eastman and Petri Vainio. The business address for the Funds and the Managers is 21 Waterway, Suite 225, The Woodlands, Texas 77380.</w:t>
      </w:r>
    </w:p>
    <w:p>
      <w:pPr>
        <w:spacing w:after="0" w:line="92" w:lineRule="exact"/>
        <w:rPr>
          <w:rFonts w:ascii="Arial" w:cs="Arial" w:eastAsia="Arial" w:hAnsi="Arial"/>
          <w:sz w:val="13"/>
          <w:szCs w:val="13"/>
          <w:color w:val="auto"/>
        </w:rPr>
      </w:pPr>
    </w:p>
    <w:p>
      <w:pPr>
        <w:ind w:left="1620" w:right="679" w:hanging="358"/>
        <w:spacing w:after="0" w:line="261" w:lineRule="auto"/>
        <w:tabs>
          <w:tab w:leader="none" w:pos="1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Consists of (i) 3,027,542 shares of common stock and (ii) 30,725 shares of common stock issuable upon exercise of warrants to purchase common stock held by held by OrbiMed Private Investments IV, LP, or OPI IV. OrbiMed Capital GP IV LLC, or GP IV, is the general partner of OPI IV. OrbiMed Advisors LLC, or OrbiMed Advisors, is the managing member of GP IV. By virtue of such relationships, GP IV and OrbiMed Advisors may be deemed to have voting and investment power with respect to the shares held by OPI IV. Both GP IV and OrbiMed Advisors may be deemed to directly or indirectly, including by reason of their mutual affiliation, to be the beneficial owners of the shares held by OPI IV. OrbiMed Advisors exercises this investment and voting power through a management committee comprised of Carl L. Gordon, Sven H. Borho, and Jonathan T. Silverstein. Each of GP IV, OrbiMed Advisors, Carl L. Gordon, Sven H. Borho, and Jonathan T. Silverstein disclaims beneficial ownership of the shares held by OPI IV, except to the extent of its or his pecuniary interest therein if any. The business address for OPI IV is c/o OrbiMed Advisors LLC, 601 Lexington Avenue, 54th Floor, New York, NY 10022.</w:t>
      </w:r>
    </w:p>
    <w:p>
      <w:pPr>
        <w:spacing w:after="0" w:line="66" w:lineRule="exact"/>
        <w:rPr>
          <w:rFonts w:ascii="Arial" w:cs="Arial" w:eastAsia="Arial" w:hAnsi="Arial"/>
          <w:sz w:val="12"/>
          <w:szCs w:val="12"/>
          <w:color w:val="auto"/>
        </w:rPr>
      </w:pPr>
    </w:p>
    <w:p>
      <w:pPr>
        <w:ind w:left="1620" w:right="759" w:hanging="358"/>
        <w:spacing w:after="0" w:line="238" w:lineRule="auto"/>
        <w:tabs>
          <w:tab w:leader="none" w:pos="16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Consists of (i) 106,052 shares of common stock held by Signet Healthcare Partners Accredited Partnership III, LP; (ii) 505,281 shares of common stock held by Signet Healthcare Partners QP Partnership III, LP; (iii) 1,262 shares of common stock issuable upon exercise of warrants to purchase common stock held by Signet Healthcare Partners Accredited Partnership III, LP; and (iv) 6,014 shares of common stock issuable upon exercise of warrants to purchase common stock held by Signet Healthcare Partners QP Partnership III, LP. Signet Healthcare GP III, LP is the general partner of Signet Healthcare Partners QP Partnership III LP and Signet Healthcare Partners Accredited Partnership III, LP, and as a result may be deemed to have beneficial ownership of such shares. James C. Gale exercises voting and dispositive power over the shares held by Signet Healthcare Partners Accredited Partnership II, LP and Signet Healthcare Partners QP Partnership II, LP. Each of Signet Healthcare GP III, LP and Mr. Gale disclaims beneficial ownership of the shares held by each of Signet Healthcare Partners Accredited Partnership II, LP and Signet Healthcare Partners QP Partnership II, LP, except to the extent of it or his pecuniary interest therein. The address for Signet Healthcare Partners Accredited Partnership III, LP is 152 West 57th Street, 19th Floor, New York, NY 10019.</w:t>
      </w:r>
    </w:p>
    <w:p>
      <w:pPr>
        <w:spacing w:after="0" w:line="97" w:lineRule="exact"/>
        <w:rPr>
          <w:rFonts w:ascii="Arial" w:cs="Arial" w:eastAsia="Arial" w:hAnsi="Arial"/>
          <w:sz w:val="13"/>
          <w:szCs w:val="13"/>
          <w:color w:val="auto"/>
        </w:rPr>
      </w:pPr>
    </w:p>
    <w:p>
      <w:pPr>
        <w:ind w:left="1620" w:right="699" w:hanging="358"/>
        <w:spacing w:after="0" w:line="242" w:lineRule="auto"/>
        <w:tabs>
          <w:tab w:leader="none" w:pos="16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Voting and investment decisions with respect to these shares are made by Ronald Ellis. The address for Pacira BioSciences, Inc. is 5 Sylvan Way, Suite 300, Parsippany, NJ 07054.</w:t>
      </w:r>
    </w:p>
    <w:p>
      <w:pPr>
        <w:spacing w:after="0" w:line="90" w:lineRule="exact"/>
        <w:rPr>
          <w:rFonts w:ascii="Arial" w:cs="Arial" w:eastAsia="Arial" w:hAnsi="Arial"/>
          <w:sz w:val="13"/>
          <w:szCs w:val="13"/>
          <w:color w:val="auto"/>
        </w:rPr>
      </w:pPr>
    </w:p>
    <w:p>
      <w:pPr>
        <w:ind w:left="1620" w:right="799" w:hanging="358"/>
        <w:spacing w:after="0" w:line="282" w:lineRule="auto"/>
        <w:tabs>
          <w:tab w:leader="none" w:pos="1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Consists of (i) 154,085 shares of common stock; (ii) 436 shares of common stock issuable upon exercise of warrants to purchase common stock; and (iii) 133,136 shares of common stock issuable pursuant to options that are exercisable within 60 days of June 12, 2020.</w:t>
      </w:r>
    </w:p>
    <w:p>
      <w:pPr>
        <w:spacing w:after="0" w:line="53" w:lineRule="exact"/>
        <w:rPr>
          <w:rFonts w:ascii="Arial" w:cs="Arial" w:eastAsia="Arial" w:hAnsi="Arial"/>
          <w:sz w:val="12"/>
          <w:szCs w:val="12"/>
          <w:color w:val="auto"/>
        </w:rPr>
      </w:pPr>
    </w:p>
    <w:p>
      <w:pPr>
        <w:ind w:left="1620" w:right="859" w:hanging="358"/>
        <w:spacing w:after="0" w:line="282" w:lineRule="auto"/>
        <w:tabs>
          <w:tab w:leader="none" w:pos="1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Consists of (i) 78,887 shares of common stock; (ii) 523 shares of common stock issuable upon exercise of warrants to purchase common stock; and (iii) 16,786 shares of common stock issuable pursuant to options that are exercisable within 60 days of June 12, 2020.</w:t>
      </w:r>
    </w:p>
    <w:p>
      <w:pPr>
        <w:spacing w:after="0" w:line="67" w:lineRule="exact"/>
        <w:rPr>
          <w:rFonts w:ascii="Arial" w:cs="Arial" w:eastAsia="Arial" w:hAnsi="Arial"/>
          <w:sz w:val="12"/>
          <w:szCs w:val="12"/>
          <w:color w:val="auto"/>
        </w:rPr>
      </w:pPr>
    </w:p>
    <w:p>
      <w:pPr>
        <w:ind w:left="1620" w:right="939" w:hanging="358"/>
        <w:spacing w:after="0" w:line="282" w:lineRule="auto"/>
        <w:tabs>
          <w:tab w:leader="none" w:pos="1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Consists of (i) 10,510 shares of common stock; (ii) 80 shares of common stock issuable upon exercise of warrants to purchase common stock; and (iii) 38,107 shares of common stock issuable pursuant to options that are exercisable within 60 days of June 12, 2020.</w:t>
      </w:r>
    </w:p>
    <w:p>
      <w:pPr>
        <w:spacing w:after="0" w:line="67" w:lineRule="exact"/>
        <w:rPr>
          <w:rFonts w:ascii="Arial" w:cs="Arial" w:eastAsia="Arial" w:hAnsi="Arial"/>
          <w:sz w:val="12"/>
          <w:szCs w:val="12"/>
          <w:color w:val="auto"/>
        </w:rPr>
      </w:pPr>
    </w:p>
    <w:p>
      <w:pPr>
        <w:ind w:left="1620" w:hanging="358"/>
        <w:spacing w:after="0"/>
        <w:tabs>
          <w:tab w:leader="none" w:pos="16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Consists of 10,282 shares of common stock issuable pursuant to options that are exercisable within 60 days of June 12, 2020.</w:t>
      </w:r>
    </w:p>
    <w:p>
      <w:pPr>
        <w:spacing w:after="0" w:line="80" w:lineRule="exact"/>
        <w:rPr>
          <w:rFonts w:ascii="Arial" w:cs="Arial" w:eastAsia="Arial" w:hAnsi="Arial"/>
          <w:sz w:val="13"/>
          <w:szCs w:val="13"/>
          <w:color w:val="auto"/>
        </w:rPr>
      </w:pPr>
    </w:p>
    <w:p>
      <w:pPr>
        <w:ind w:left="1620" w:hanging="358"/>
        <w:spacing w:after="0"/>
        <w:tabs>
          <w:tab w:leader="none" w:pos="16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Consists of 1,999 shares of common stock issuable pursuant to options that are exercisable within 60 days of June 12, 2020.</w:t>
      </w:r>
    </w:p>
    <w:p>
      <w:pPr>
        <w:spacing w:after="0" w:line="93" w:lineRule="exact"/>
        <w:rPr>
          <w:rFonts w:ascii="Arial" w:cs="Arial" w:eastAsia="Arial" w:hAnsi="Arial"/>
          <w:sz w:val="13"/>
          <w:szCs w:val="13"/>
          <w:color w:val="auto"/>
        </w:rPr>
      </w:pPr>
    </w:p>
    <w:p>
      <w:pPr>
        <w:ind w:left="1620" w:right="699" w:hanging="358"/>
        <w:spacing w:after="0" w:line="261" w:lineRule="auto"/>
        <w:tabs>
          <w:tab w:leader="none" w:pos="1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Consists of (i) 1,751,100 shares of common stock held by Quaker BioVentures, II, L.P.; (ii) 18,096 shares of common stock issuable upon exercise of warrants to purchase common stock held by Quaker BioVentures, II, L.P.; and (iii) 1,332 shares of common stock issuable pursuant to options that are exercisable within 60 days of June 12, 2020. Quaker BioVentures Capital II, L.P. serves as the partner of Quaker BioVentures, II, L.P. Quaker BioVentures Capital II, LLC serves as the general partner of Quaker BioVentures Capital II, L.P and Quaker BioVentures Capital II, LLC may be deemed to have beneficial ownership of the shares held by Quaker BioVentures II, L.P. Quaker Bioventures Capital II, LLC exercises this investment and voting power through a management committee comprised of Adele C. Oliva, Richard S. Kollender, P. Sherrill Neff, and Ira M. Lubert. Each of Quaker Bioventures II, LLC, Adele C. Oliva, Richard S. Kollender, P. Sherrill Neff, and Ira M. Lubert disclaims beneficial ownership of the shares held by Quaker BioVentures , II, L.P., except to the extent of its or his pecuniary interest therein. The address for Quaker BioVentures II, L.P. is 150 Monument Road, Suite 207, Bala Cynwyd, PA 19004.</w:t>
      </w:r>
    </w:p>
    <w:p>
      <w:pPr>
        <w:spacing w:after="0" w:line="80" w:lineRule="exact"/>
        <w:rPr>
          <w:rFonts w:ascii="Arial" w:cs="Arial" w:eastAsia="Arial" w:hAnsi="Arial"/>
          <w:sz w:val="12"/>
          <w:szCs w:val="12"/>
          <w:color w:val="auto"/>
        </w:rPr>
      </w:pPr>
    </w:p>
    <w:p>
      <w:pPr>
        <w:ind w:left="1620" w:hanging="358"/>
        <w:spacing w:after="0"/>
        <w:tabs>
          <w:tab w:leader="none" w:pos="16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Consists of 19,064 shares of common stock issuable pursuant to options that are exercisable within 60 days of June 12, 2020.</w:t>
      </w:r>
    </w:p>
    <w:p>
      <w:pPr>
        <w:spacing w:after="0" w:line="80" w:lineRule="exact"/>
        <w:rPr>
          <w:rFonts w:ascii="Arial" w:cs="Arial" w:eastAsia="Arial" w:hAnsi="Arial"/>
          <w:sz w:val="13"/>
          <w:szCs w:val="13"/>
          <w:color w:val="auto"/>
        </w:rPr>
      </w:pPr>
    </w:p>
    <w:p>
      <w:pPr>
        <w:ind w:left="1620" w:hanging="358"/>
        <w:spacing w:after="0"/>
        <w:tabs>
          <w:tab w:leader="none" w:pos="16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Consists of 666 shares of common stock issuable pursuant to options that are exercisable within 60 days of June 12, 2020.</w:t>
      </w:r>
    </w:p>
    <w:p>
      <w:pPr>
        <w:spacing w:after="0" w:line="93" w:lineRule="exact"/>
        <w:rPr>
          <w:rFonts w:ascii="Arial" w:cs="Arial" w:eastAsia="Arial" w:hAnsi="Arial"/>
          <w:sz w:val="13"/>
          <w:szCs w:val="13"/>
          <w:color w:val="auto"/>
        </w:rPr>
      </w:pPr>
    </w:p>
    <w:p>
      <w:pPr>
        <w:ind w:left="1620" w:hanging="358"/>
        <w:spacing w:after="0"/>
        <w:tabs>
          <w:tab w:leader="none" w:pos="16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Consists of 666 shares of common stock issuable pursuant to options that are exercisable within 60 days of June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DESCRIPTION OF CAPITAL STOCK</w:t>
      </w:r>
    </w:p>
    <w:p>
      <w:pPr>
        <w:spacing w:after="0" w:line="332" w:lineRule="exact"/>
        <w:rPr>
          <w:sz w:val="20"/>
          <w:szCs w:val="20"/>
          <w:color w:val="auto"/>
        </w:rPr>
      </w:pPr>
    </w:p>
    <w:p>
      <w:pPr>
        <w:ind w:left="1260" w:right="679"/>
        <w:spacing w:after="0" w:line="252" w:lineRule="auto"/>
        <w:rPr>
          <w:sz w:val="20"/>
          <w:szCs w:val="20"/>
          <w:color w:val="auto"/>
        </w:rPr>
      </w:pPr>
      <w:r>
        <w:rPr>
          <w:rFonts w:ascii="Arial" w:cs="Arial" w:eastAsia="Arial" w:hAnsi="Arial"/>
          <w:sz w:val="17"/>
          <w:szCs w:val="17"/>
          <w:i w:val="1"/>
          <w:iCs w:val="1"/>
          <w:color w:val="auto"/>
        </w:rPr>
        <w:t>We have one class of securities registered under Section 12 of the Securities Exchange Act of 1934, as amended, or the Exchange Act. Our common stock is registered under Section 12(b) of the Exchange Act. The following description of our common stock is a summary and does not purport to be complete. It is subject to and qualified in its entirety by reference to our fourth amended and restated certificate of incorporation and our second amended and restated bylaws, each of which was included as an exhibit to our Annual Report on Form 10-K filed with the SEC on March 30, 2020, which is incorporated by reference into this prospectus. We encourage you to read our fourth amended and restated certificate of incorporation and our second amended and restated bylaws and the applicable provisions of the Delaware General Corporation Law, or the DGCL, for additional information.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General</w:t>
      </w:r>
    </w:p>
    <w:p>
      <w:pPr>
        <w:spacing w:after="0" w:line="108" w:lineRule="exact"/>
        <w:rPr>
          <w:sz w:val="20"/>
          <w:szCs w:val="20"/>
          <w:color w:val="auto"/>
        </w:rPr>
      </w:pPr>
    </w:p>
    <w:p>
      <w:pPr>
        <w:ind w:left="1260" w:right="819"/>
        <w:spacing w:after="0" w:line="254" w:lineRule="auto"/>
        <w:rPr>
          <w:sz w:val="20"/>
          <w:szCs w:val="20"/>
          <w:color w:val="auto"/>
        </w:rPr>
      </w:pPr>
      <w:r>
        <w:rPr>
          <w:rFonts w:ascii="Arial" w:cs="Arial" w:eastAsia="Arial" w:hAnsi="Arial"/>
          <w:sz w:val="17"/>
          <w:szCs w:val="17"/>
          <w:color w:val="auto"/>
        </w:rPr>
        <w:t>Our authorized capital stock consists of 200,000,000 shares of common stock, par value $0.001 per share, and 10,000,000 shares of preferred stock, par value $0.001 per share. All of our outstanding shares of common stock are fully paid and nonassessable.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Common Stock</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Voting Rights</w:t>
      </w:r>
    </w:p>
    <w:p>
      <w:pPr>
        <w:spacing w:after="0" w:line="68" w:lineRule="exact"/>
        <w:rPr>
          <w:sz w:val="20"/>
          <w:szCs w:val="20"/>
          <w:color w:val="auto"/>
        </w:rPr>
      </w:pPr>
    </w:p>
    <w:p>
      <w:pPr>
        <w:ind w:left="1260" w:right="719"/>
        <w:spacing w:after="0" w:line="252"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voting power of all of the then outstanding voting stock is required to take certain actions, including amending certain provisions of our fourth amended and restated certificate of incorporation, such as the provisions relating to amending our second amended and restated bylaws, procedures for our stockholder meetings, the classified board, director liability, and exclusive forum for proceedings.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Dividends</w:t>
      </w:r>
    </w:p>
    <w:p>
      <w:pPr>
        <w:spacing w:after="0" w:line="68" w:lineRule="exact"/>
        <w:rPr>
          <w:sz w:val="20"/>
          <w:szCs w:val="20"/>
          <w:color w:val="auto"/>
        </w:rPr>
      </w:pPr>
    </w:p>
    <w:p>
      <w:pPr>
        <w:ind w:left="1260" w:right="739"/>
        <w:spacing w:after="0" w:line="254" w:lineRule="auto"/>
        <w:rPr>
          <w:sz w:val="20"/>
          <w:szCs w:val="20"/>
          <w:color w:val="auto"/>
        </w:rPr>
      </w:pPr>
      <w:r>
        <w:rPr>
          <w:rFonts w:ascii="Arial" w:cs="Arial" w:eastAsia="Arial" w:hAnsi="Arial"/>
          <w:sz w:val="17"/>
          <w:szCs w:val="17"/>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Liquidation</w:t>
      </w:r>
    </w:p>
    <w:p>
      <w:pPr>
        <w:spacing w:after="0" w:line="54" w:lineRule="exact"/>
        <w:rPr>
          <w:sz w:val="20"/>
          <w:szCs w:val="20"/>
          <w:color w:val="auto"/>
        </w:rPr>
      </w:pPr>
    </w:p>
    <w:p>
      <w:pPr>
        <w:ind w:left="1260" w:right="679"/>
        <w:spacing w:after="0" w:line="252"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68" w:lineRule="exact"/>
        <w:rPr>
          <w:sz w:val="20"/>
          <w:szCs w:val="20"/>
          <w:color w:val="auto"/>
        </w:rPr>
      </w:pPr>
    </w:p>
    <w:p>
      <w:pPr>
        <w:ind w:left="1260" w:right="719"/>
        <w:spacing w:after="0" w:line="252"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Preferred Stock</w:t>
      </w:r>
    </w:p>
    <w:p>
      <w:pPr>
        <w:spacing w:after="0" w:line="95" w:lineRule="exact"/>
        <w:rPr>
          <w:sz w:val="20"/>
          <w:szCs w:val="20"/>
          <w:color w:val="auto"/>
        </w:rPr>
      </w:pPr>
    </w:p>
    <w:p>
      <w:pPr>
        <w:ind w:left="1260" w:right="779"/>
        <w:spacing w:after="0" w:line="252" w:lineRule="auto"/>
        <w:rPr>
          <w:sz w:val="20"/>
          <w:szCs w:val="20"/>
          <w:color w:val="auto"/>
        </w:rPr>
      </w:pPr>
      <w:r>
        <w:rPr>
          <w:rFonts w:ascii="Arial" w:cs="Arial" w:eastAsia="Arial" w:hAnsi="Arial"/>
          <w:sz w:val="17"/>
          <w:szCs w:val="17"/>
          <w:color w:val="auto"/>
        </w:rPr>
        <w:t>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38" w:lineRule="exact"/>
        <w:rPr>
          <w:sz w:val="20"/>
          <w:szCs w:val="20"/>
          <w:color w:val="auto"/>
        </w:rPr>
      </w:pPr>
    </w:p>
    <w:p>
      <w:pPr>
        <w:ind w:left="1260" w:right="679"/>
        <w:spacing w:after="0" w:line="254"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w:t>
      </w:r>
    </w:p>
    <w:p>
      <w:pPr>
        <w:spacing w:after="0" w:line="200" w:lineRule="exact"/>
        <w:rPr>
          <w:sz w:val="20"/>
          <w:szCs w:val="20"/>
          <w:color w:val="auto"/>
        </w:rPr>
      </w:pPr>
    </w:p>
    <w:p>
      <w:pPr>
        <w:spacing w:after="0" w:line="22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1099"/>
        <w:spacing w:after="0" w:line="259" w:lineRule="auto"/>
        <w:rPr>
          <w:sz w:val="20"/>
          <w:szCs w:val="20"/>
          <w:color w:val="auto"/>
        </w:rPr>
      </w:pPr>
      <w:r>
        <w:rPr>
          <w:rFonts w:ascii="Arial" w:cs="Arial" w:eastAsia="Arial" w:hAnsi="Arial"/>
          <w:sz w:val="17"/>
          <w:szCs w:val="17"/>
          <w:color w:val="auto"/>
        </w:rPr>
        <w:t>corporate purposes, could have the effect of making it more difficult for a third-party to acquire, or could discourage a third-party from seeking to acquire, a majority of our outstanding voting stock.</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We have no present plans to issue any shares of preferred stock.</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Warrants</w:t>
      </w:r>
    </w:p>
    <w:p>
      <w:pPr>
        <w:spacing w:after="0" w:line="95" w:lineRule="exact"/>
        <w:rPr>
          <w:sz w:val="20"/>
          <w:szCs w:val="20"/>
          <w:color w:val="auto"/>
        </w:rPr>
      </w:pPr>
    </w:p>
    <w:p>
      <w:pPr>
        <w:ind w:left="1260" w:right="839"/>
        <w:spacing w:after="0" w:line="254" w:lineRule="auto"/>
        <w:rPr>
          <w:sz w:val="20"/>
          <w:szCs w:val="20"/>
          <w:color w:val="auto"/>
        </w:rPr>
      </w:pPr>
      <w:r>
        <w:rPr>
          <w:rFonts w:ascii="Arial" w:cs="Arial" w:eastAsia="Arial" w:hAnsi="Arial"/>
          <w:sz w:val="17"/>
          <w:szCs w:val="17"/>
          <w:color w:val="auto"/>
        </w:rPr>
        <w:t>We have warrants to purchase an aggregate of 88,556 shares of our common stock outstanding with an exercise price of $28.65 per share. These warrants may be exercised at any time and from time to time, in whole or in part.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Anti-Takeover Provisions of Delaware Law and Our Charter Documents</w:t>
      </w:r>
    </w:p>
    <w:p>
      <w:pPr>
        <w:spacing w:after="0" w:line="108" w:lineRule="exact"/>
        <w:rPr>
          <w:sz w:val="20"/>
          <w:szCs w:val="20"/>
          <w:color w:val="auto"/>
        </w:rPr>
      </w:pPr>
    </w:p>
    <w:p>
      <w:pPr>
        <w:ind w:left="1260" w:right="699"/>
        <w:spacing w:after="0" w:line="250" w:lineRule="auto"/>
        <w:rPr>
          <w:sz w:val="20"/>
          <w:szCs w:val="20"/>
          <w:color w:val="auto"/>
        </w:rPr>
      </w:pPr>
      <w:r>
        <w:rPr>
          <w:rFonts w:ascii="Arial" w:cs="Arial" w:eastAsia="Arial" w:hAnsi="Arial"/>
          <w:sz w:val="17"/>
          <w:szCs w:val="17"/>
          <w:color w:val="auto"/>
        </w:rPr>
        <w:t>Our fourth amended and restated certificate of incorporation and our second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28" w:lineRule="exact"/>
        <w:rPr>
          <w:sz w:val="20"/>
          <w:szCs w:val="20"/>
          <w:color w:val="auto"/>
        </w:rPr>
      </w:pPr>
    </w:p>
    <w:p>
      <w:pPr>
        <w:ind w:left="1260" w:right="679"/>
        <w:spacing w:after="0" w:line="250" w:lineRule="auto"/>
        <w:rPr>
          <w:sz w:val="20"/>
          <w:szCs w:val="20"/>
          <w:color w:val="auto"/>
        </w:rPr>
      </w:pPr>
      <w:r>
        <w:rPr>
          <w:rFonts w:ascii="Arial" w:cs="Arial" w:eastAsia="Arial" w:hAnsi="Arial"/>
          <w:sz w:val="17"/>
          <w:szCs w:val="17"/>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Section 203 of the Delaware General Corporation Law</w:t>
      </w:r>
    </w:p>
    <w:p>
      <w:pPr>
        <w:spacing w:after="0" w:line="68" w:lineRule="exact"/>
        <w:rPr>
          <w:sz w:val="20"/>
          <w:szCs w:val="20"/>
          <w:color w:val="auto"/>
        </w:rPr>
      </w:pPr>
    </w:p>
    <w:p>
      <w:pPr>
        <w:ind w:left="1260" w:right="679"/>
        <w:spacing w:after="0" w:line="249" w:lineRule="auto"/>
        <w:rPr>
          <w:sz w:val="20"/>
          <w:szCs w:val="20"/>
          <w:color w:val="auto"/>
        </w:rPr>
      </w:pPr>
      <w:r>
        <w:rPr>
          <w:rFonts w:ascii="Arial" w:cs="Arial" w:eastAsia="Arial" w:hAnsi="Arial"/>
          <w:sz w:val="17"/>
          <w:szCs w:val="17"/>
          <w:color w:val="auto"/>
        </w:rPr>
        <w:t>We are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Elimination of Stockholder Action by Written Consent</w:t>
      </w:r>
    </w:p>
    <w:p>
      <w:pPr>
        <w:spacing w:after="0" w:line="68" w:lineRule="exact"/>
        <w:rPr>
          <w:sz w:val="20"/>
          <w:szCs w:val="20"/>
          <w:color w:val="auto"/>
        </w:rPr>
      </w:pPr>
    </w:p>
    <w:p>
      <w:pPr>
        <w:ind w:left="1260" w:right="719"/>
        <w:spacing w:after="0" w:line="252" w:lineRule="auto"/>
        <w:rPr>
          <w:sz w:val="20"/>
          <w:szCs w:val="20"/>
          <w:color w:val="auto"/>
        </w:rPr>
      </w:pPr>
      <w:r>
        <w:rPr>
          <w:rFonts w:ascii="Arial" w:cs="Arial" w:eastAsia="Arial" w:hAnsi="Arial"/>
          <w:sz w:val="17"/>
          <w:szCs w:val="17"/>
          <w:color w:val="auto"/>
        </w:rPr>
        <w:t>Our fourth amended and restated certificate of incorporation provides that all stockholder actions must be effected at a duly called meeting of stockholders and not by consent in writing. A special meeting of stockholders may be called only by a majority of our board of directors, the chair of our board of directors, or our chief executive officer.</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54" w:lineRule="exact"/>
        <w:rPr>
          <w:sz w:val="20"/>
          <w:szCs w:val="20"/>
          <w:color w:val="auto"/>
        </w:rPr>
      </w:pPr>
    </w:p>
    <w:p>
      <w:pPr>
        <w:ind w:left="1260" w:right="959"/>
        <w:spacing w:after="0" w:line="252" w:lineRule="auto"/>
        <w:rPr>
          <w:sz w:val="20"/>
          <w:szCs w:val="20"/>
          <w:color w:val="auto"/>
        </w:rPr>
      </w:pPr>
      <w:r>
        <w:rPr>
          <w:rFonts w:ascii="Arial" w:cs="Arial" w:eastAsia="Arial" w:hAnsi="Arial"/>
          <w:sz w:val="17"/>
          <w:szCs w:val="17"/>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Amendment of Charter Provisions</w:t>
      </w:r>
    </w:p>
    <w:p>
      <w:pPr>
        <w:spacing w:after="0" w:line="68" w:lineRule="exact"/>
        <w:rPr>
          <w:sz w:val="20"/>
          <w:szCs w:val="20"/>
          <w:color w:val="auto"/>
        </w:rPr>
      </w:pPr>
    </w:p>
    <w:p>
      <w:pPr>
        <w:ind w:left="1260" w:right="839"/>
        <w:spacing w:after="0" w:line="257" w:lineRule="auto"/>
        <w:rPr>
          <w:sz w:val="20"/>
          <w:szCs w:val="20"/>
          <w:color w:val="auto"/>
        </w:rPr>
      </w:pPr>
      <w:r>
        <w:rPr>
          <w:rFonts w:ascii="Arial" w:cs="Arial" w:eastAsia="Arial" w:hAnsi="Arial"/>
          <w:sz w:val="17"/>
          <w:szCs w:val="17"/>
          <w:color w:val="auto"/>
        </w:rPr>
        <w:t>Our fourth amended and restated certificate of incorporation provides that the affirmative vote of holders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voting power of all of the then outstanding shares of voting stock, voting as a single class, are required to amend certain provisions of our fourth amended and restated certificate of incorporation, including provisions relating to the size of the board, removal of directors, special meetings, actions by written consent and cumulative voting. The affirmative vote of holders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voting power</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679"/>
        <w:spacing w:after="0" w:line="270" w:lineRule="auto"/>
        <w:rPr>
          <w:sz w:val="20"/>
          <w:szCs w:val="20"/>
          <w:color w:val="auto"/>
        </w:rPr>
      </w:pPr>
      <w:r>
        <w:rPr>
          <w:rFonts w:ascii="Arial" w:cs="Arial" w:eastAsia="Arial" w:hAnsi="Arial"/>
          <w:sz w:val="17"/>
          <w:szCs w:val="17"/>
          <w:color w:val="auto"/>
        </w:rPr>
        <w:t>of all of the then outstanding shares of voting stock, voting as a single class, are required to amend or repeal our second amended and restated bylaws, although our second amended and restated bylaws may be amended by a simple majority vote of our board of directors.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Classified Board; Election and Removal of Directors</w:t>
      </w:r>
    </w:p>
    <w:p>
      <w:pPr>
        <w:spacing w:after="0" w:line="81" w:lineRule="exact"/>
        <w:rPr>
          <w:sz w:val="20"/>
          <w:szCs w:val="20"/>
          <w:color w:val="auto"/>
        </w:rPr>
      </w:pPr>
    </w:p>
    <w:p>
      <w:pPr>
        <w:ind w:left="1260" w:right="799"/>
        <w:spacing w:after="0" w:line="268" w:lineRule="auto"/>
        <w:rPr>
          <w:sz w:val="20"/>
          <w:szCs w:val="20"/>
          <w:color w:val="auto"/>
        </w:rPr>
      </w:pPr>
      <w:r>
        <w:rPr>
          <w:rFonts w:ascii="Arial" w:cs="Arial" w:eastAsia="Arial" w:hAnsi="Arial"/>
          <w:sz w:val="17"/>
          <w:szCs w:val="17"/>
          <w:color w:val="auto"/>
        </w:rPr>
        <w:t>Our fourth amended and restated certificate of incorporation provides that our board of directors is divided into three classes, Class I, Class II and Class III, with each class serving staggered terms, and gives our board of directors the exclusive right to expand the size of our board of directors and to elect directors to fill a vacancy created by the expansion of the board of directors or the resignation, death or removal of a director.</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Choice of Forum</w:t>
      </w:r>
    </w:p>
    <w:p>
      <w:pPr>
        <w:spacing w:after="0" w:line="81" w:lineRule="exact"/>
        <w:rPr>
          <w:sz w:val="20"/>
          <w:szCs w:val="20"/>
          <w:color w:val="auto"/>
        </w:rPr>
      </w:pPr>
    </w:p>
    <w:p>
      <w:pPr>
        <w:ind w:left="1260" w:right="679"/>
        <w:spacing w:after="0" w:line="265" w:lineRule="auto"/>
        <w:rPr>
          <w:sz w:val="20"/>
          <w:szCs w:val="20"/>
          <w:color w:val="auto"/>
        </w:rPr>
      </w:pPr>
      <w:r>
        <w:rPr>
          <w:rFonts w:ascii="Arial" w:cs="Arial" w:eastAsia="Arial" w:hAnsi="Arial"/>
          <w:sz w:val="17"/>
          <w:szCs w:val="17"/>
          <w:color w:val="auto"/>
        </w:rPr>
        <w:t>Our fourth amended and restated certificate of incorporation provides that, unless our board of directors consents in writing to the selection of an alternative forum, the Court of Chancery of the State of Delaware (or, if the Court of Chancery does not have jurisdiction, the United States District Court for the District of Delaware) is the sole and exclusive forum for: (i) any derivative action or proceeding brought on behalf of us;</w:t>
      </w:r>
    </w:p>
    <w:p>
      <w:pPr>
        <w:spacing w:after="0" w:line="1" w:lineRule="exact"/>
        <w:rPr>
          <w:sz w:val="20"/>
          <w:szCs w:val="20"/>
          <w:color w:val="auto"/>
        </w:rPr>
      </w:pPr>
    </w:p>
    <w:p>
      <w:pPr>
        <w:ind w:left="1260" w:right="699" w:firstLine="2"/>
        <w:spacing w:after="0" w:line="266" w:lineRule="auto"/>
        <w:tabs>
          <w:tab w:leader="none" w:pos="1497"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or other employees or agents to us or our stockholders; (iii) any action asserting a claim against us arising pursuant to any provision of the DGCL or our fourth amended and restated certificate of incorporation and our second amended and restated bylaws; or (iv) any action asserting a claim against us governed by the internal affairs doctrine, except, in each case, (A) any claim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 (C) for which such court does not have subject matter jurisdiction.</w:t>
      </w:r>
    </w:p>
    <w:p>
      <w:pPr>
        <w:spacing w:after="0" w:line="129" w:lineRule="exact"/>
        <w:rPr>
          <w:sz w:val="20"/>
          <w:szCs w:val="20"/>
          <w:color w:val="auto"/>
        </w:rPr>
      </w:pPr>
    </w:p>
    <w:p>
      <w:pPr>
        <w:ind w:left="1260" w:right="779"/>
        <w:spacing w:after="0" w:line="267" w:lineRule="auto"/>
        <w:rPr>
          <w:sz w:val="20"/>
          <w:szCs w:val="20"/>
          <w:color w:val="auto"/>
        </w:rPr>
      </w:pPr>
      <w:r>
        <w:rPr>
          <w:rFonts w:ascii="Arial" w:cs="Arial" w:eastAsia="Arial" w:hAnsi="Arial"/>
          <w:sz w:val="17"/>
          <w:szCs w:val="17"/>
          <w:color w:val="auto"/>
        </w:rPr>
        <w:t>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336" w:lineRule="exact"/>
        <w:rPr>
          <w:sz w:val="20"/>
          <w:szCs w:val="20"/>
          <w:color w:val="auto"/>
        </w:rPr>
      </w:pPr>
    </w:p>
    <w:p>
      <w:pPr>
        <w:ind w:left="1260" w:right="679"/>
        <w:spacing w:after="0" w:line="218"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22" w:lineRule="exact"/>
        <w:rPr>
          <w:sz w:val="20"/>
          <w:szCs w:val="20"/>
          <w:color w:val="auto"/>
        </w:rPr>
      </w:pPr>
    </w:p>
    <w:p>
      <w:pPr>
        <w:ind w:left="1260" w:right="679"/>
        <w:spacing w:after="0" w:line="222" w:lineRule="auto"/>
        <w:rPr>
          <w:sz w:val="20"/>
          <w:szCs w:val="20"/>
          <w:color w:val="auto"/>
        </w:rPr>
      </w:pPr>
      <w:r>
        <w:rPr>
          <w:rFonts w:ascii="Arial" w:cs="Arial" w:eastAsia="Arial" w:hAnsi="Arial"/>
          <w:sz w:val="17"/>
          <w:szCs w:val="17"/>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 U.S. Holder’s particular circumstances, including the impact of the Medicare contribution tax on net investment income. In addition, it does not address consequences relevant to Non-U.S. Holders subject to special rules, including, without limitation:</w:t>
      </w:r>
    </w:p>
    <w:p>
      <w:pPr>
        <w:spacing w:after="0" w:line="68" w:lineRule="exact"/>
        <w:rPr>
          <w:sz w:val="20"/>
          <w:szCs w:val="20"/>
          <w:color w:val="auto"/>
        </w:rPr>
      </w:pPr>
    </w:p>
    <w:p>
      <w:pPr>
        <w:ind w:left="1840" w:right="2299" w:hanging="218"/>
        <w:spacing w:after="0" w:line="276" w:lineRule="auto"/>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U.S. expatriates and former citizens or long-term residents of the United States; persons subject to the alternative minimum tax;</w:t>
      </w:r>
    </w:p>
    <w:p>
      <w:pPr>
        <w:spacing w:after="0" w:line="36" w:lineRule="exact"/>
        <w:rPr>
          <w:rFonts w:ascii="Arial" w:cs="Arial" w:eastAsia="Arial" w:hAnsi="Arial"/>
          <w:sz w:val="17"/>
          <w:szCs w:val="17"/>
          <w:color w:val="auto"/>
        </w:rPr>
      </w:pPr>
    </w:p>
    <w:p>
      <w:pPr>
        <w:ind w:left="1840" w:right="739" w:hanging="218"/>
        <w:spacing w:after="0" w:line="276" w:lineRule="auto"/>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persons holding our common stock as part of a hedge, straddle or other risk reduction strategy or as part of a conversion transaction or other integrated investment;</w:t>
      </w:r>
    </w:p>
    <w:p>
      <w:pPr>
        <w:spacing w:after="0" w:line="36" w:lineRule="exact"/>
        <w:rPr>
          <w:rFonts w:ascii="Arial" w:cs="Arial" w:eastAsia="Arial" w:hAnsi="Arial"/>
          <w:sz w:val="17"/>
          <w:szCs w:val="17"/>
          <w:color w:val="auto"/>
        </w:rPr>
      </w:pPr>
    </w:p>
    <w:p>
      <w:pPr>
        <w:ind w:left="1840" w:hanging="218"/>
        <w:spacing w:after="0"/>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banks, insurance companies and other financial institutions;</w:t>
      </w:r>
    </w:p>
    <w:p>
      <w:pPr>
        <w:spacing w:after="0" w:line="74" w:lineRule="exact"/>
        <w:rPr>
          <w:rFonts w:ascii="Arial" w:cs="Arial" w:eastAsia="Arial" w:hAnsi="Arial"/>
          <w:sz w:val="17"/>
          <w:szCs w:val="17"/>
          <w:color w:val="auto"/>
        </w:rPr>
      </w:pPr>
    </w:p>
    <w:p>
      <w:pPr>
        <w:ind w:left="1840" w:hanging="218"/>
        <w:spacing w:after="0"/>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brokers, dealers or traders in securities;</w:t>
      </w:r>
    </w:p>
    <w:p>
      <w:pPr>
        <w:spacing w:after="0" w:line="74" w:lineRule="exact"/>
        <w:rPr>
          <w:rFonts w:ascii="Arial" w:cs="Arial" w:eastAsia="Arial" w:hAnsi="Arial"/>
          <w:sz w:val="17"/>
          <w:szCs w:val="17"/>
          <w:color w:val="auto"/>
        </w:rPr>
      </w:pPr>
    </w:p>
    <w:p>
      <w:pPr>
        <w:ind w:left="1840" w:right="1139" w:hanging="218"/>
        <w:spacing w:after="0" w:line="276" w:lineRule="auto"/>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36" w:lineRule="exact"/>
        <w:rPr>
          <w:rFonts w:ascii="Arial" w:cs="Arial" w:eastAsia="Arial" w:hAnsi="Arial"/>
          <w:sz w:val="17"/>
          <w:szCs w:val="17"/>
          <w:color w:val="auto"/>
        </w:rPr>
      </w:pPr>
    </w:p>
    <w:p>
      <w:pPr>
        <w:ind w:left="1840" w:right="979" w:hanging="218"/>
        <w:spacing w:after="0" w:line="276" w:lineRule="auto"/>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36" w:lineRule="exact"/>
        <w:rPr>
          <w:rFonts w:ascii="Arial" w:cs="Arial" w:eastAsia="Arial" w:hAnsi="Arial"/>
          <w:sz w:val="17"/>
          <w:szCs w:val="17"/>
          <w:color w:val="auto"/>
        </w:rPr>
      </w:pPr>
    </w:p>
    <w:p>
      <w:pPr>
        <w:ind w:left="1840" w:hanging="218"/>
        <w:spacing w:after="0"/>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tax-exempt organizations or governmental organizations;</w:t>
      </w:r>
    </w:p>
    <w:p>
      <w:pPr>
        <w:spacing w:after="0" w:line="74" w:lineRule="exact"/>
        <w:rPr>
          <w:rFonts w:ascii="Arial" w:cs="Arial" w:eastAsia="Arial" w:hAnsi="Arial"/>
          <w:sz w:val="17"/>
          <w:szCs w:val="17"/>
          <w:color w:val="auto"/>
        </w:rPr>
      </w:pPr>
    </w:p>
    <w:p>
      <w:pPr>
        <w:ind w:left="1840" w:hanging="218"/>
        <w:spacing w:after="0"/>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Code;</w:t>
      </w:r>
    </w:p>
    <w:p>
      <w:pPr>
        <w:spacing w:after="0" w:line="74" w:lineRule="exact"/>
        <w:rPr>
          <w:rFonts w:ascii="Arial" w:cs="Arial" w:eastAsia="Arial" w:hAnsi="Arial"/>
          <w:sz w:val="17"/>
          <w:szCs w:val="17"/>
          <w:color w:val="auto"/>
        </w:rPr>
      </w:pPr>
    </w:p>
    <w:p>
      <w:pPr>
        <w:ind w:left="1840" w:right="1099" w:hanging="218"/>
        <w:spacing w:after="0" w:line="276" w:lineRule="auto"/>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persons who hold or receive our common stock pursuant to the exercise of any employee stock option or otherwise as compensation;</w:t>
      </w:r>
    </w:p>
    <w:p>
      <w:pPr>
        <w:spacing w:after="0" w:line="36" w:lineRule="exact"/>
        <w:rPr>
          <w:rFonts w:ascii="Arial" w:cs="Arial" w:eastAsia="Arial" w:hAnsi="Arial"/>
          <w:sz w:val="17"/>
          <w:szCs w:val="17"/>
          <w:color w:val="auto"/>
        </w:rPr>
      </w:pPr>
    </w:p>
    <w:p>
      <w:pPr>
        <w:ind w:left="1840" w:hanging="218"/>
        <w:spacing w:after="0"/>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tax-qualified retirement plans;</w:t>
      </w:r>
    </w:p>
    <w:p>
      <w:pPr>
        <w:spacing w:after="0" w:line="74" w:lineRule="exact"/>
        <w:rPr>
          <w:rFonts w:ascii="Arial" w:cs="Arial" w:eastAsia="Arial" w:hAnsi="Arial"/>
          <w:sz w:val="17"/>
          <w:szCs w:val="17"/>
          <w:color w:val="auto"/>
        </w:rPr>
      </w:pPr>
    </w:p>
    <w:p>
      <w:pPr>
        <w:ind w:left="1840" w:right="739" w:hanging="218"/>
        <w:spacing w:after="0" w:line="276" w:lineRule="auto"/>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“qualified foreign pension funds” and entities all of the interests of which are held by qualified foreign pension funds; and</w:t>
      </w:r>
    </w:p>
    <w:p>
      <w:pPr>
        <w:spacing w:after="0" w:line="36" w:lineRule="exact"/>
        <w:rPr>
          <w:rFonts w:ascii="Arial" w:cs="Arial" w:eastAsia="Arial" w:hAnsi="Arial"/>
          <w:sz w:val="17"/>
          <w:szCs w:val="17"/>
          <w:color w:val="auto"/>
        </w:rPr>
      </w:pPr>
    </w:p>
    <w:p>
      <w:pPr>
        <w:ind w:left="1840" w:right="839" w:hanging="218"/>
        <w:spacing w:after="0" w:line="276" w:lineRule="auto"/>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persons subject to special tax accounting rules as a result of any item of gross income with respect to our common stock being taken into account in an applicable financial statement.</w:t>
      </w:r>
    </w:p>
    <w:p>
      <w:pPr>
        <w:spacing w:after="0" w:line="90" w:lineRule="exact"/>
        <w:rPr>
          <w:sz w:val="20"/>
          <w:szCs w:val="20"/>
          <w:color w:val="auto"/>
        </w:rPr>
      </w:pPr>
    </w:p>
    <w:p>
      <w:pPr>
        <w:ind w:left="1260" w:right="699"/>
        <w:spacing w:after="0" w:line="222" w:lineRule="auto"/>
        <w:rPr>
          <w:sz w:val="20"/>
          <w:szCs w:val="20"/>
          <w:color w:val="auto"/>
        </w:rPr>
      </w:pPr>
      <w:r>
        <w:rPr>
          <w:rFonts w:ascii="Arial" w:cs="Arial" w:eastAsia="Arial" w:hAnsi="Arial"/>
          <w:sz w:val="17"/>
          <w:szCs w:val="17"/>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02" w:lineRule="exact"/>
        <w:rPr>
          <w:sz w:val="20"/>
          <w:szCs w:val="20"/>
          <w:color w:val="auto"/>
        </w:rPr>
      </w:pPr>
    </w:p>
    <w:p>
      <w:pPr>
        <w:ind w:left="1260" w:right="719"/>
        <w:spacing w:after="0" w:line="224" w:lineRule="auto"/>
        <w:rPr>
          <w:sz w:val="20"/>
          <w:szCs w:val="20"/>
          <w:color w:val="auto"/>
        </w:rPr>
      </w:pPr>
      <w:r>
        <w:rPr>
          <w:rFonts w:ascii="Arial" w:cs="Arial" w:eastAsia="Arial" w:hAnsi="Arial"/>
          <w:sz w:val="17"/>
          <w:szCs w:val="17"/>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Definition of a Non-U.S. Holder</w:t>
      </w:r>
    </w:p>
    <w:p>
      <w:pPr>
        <w:spacing w:after="0" w:line="95" w:lineRule="exact"/>
        <w:rPr>
          <w:sz w:val="20"/>
          <w:szCs w:val="20"/>
          <w:color w:val="auto"/>
        </w:rPr>
      </w:pPr>
    </w:p>
    <w:p>
      <w:pPr>
        <w:ind w:left="1260" w:right="899"/>
        <w:spacing w:after="0" w:line="254" w:lineRule="auto"/>
        <w:rPr>
          <w:sz w:val="20"/>
          <w:szCs w:val="20"/>
          <w:color w:val="auto"/>
        </w:rPr>
      </w:pPr>
      <w:r>
        <w:rPr>
          <w:rFonts w:ascii="Arial" w:cs="Arial" w:eastAsia="Arial" w:hAnsi="Arial"/>
          <w:sz w:val="17"/>
          <w:szCs w:val="17"/>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68" w:lineRule="exact"/>
        <w:rPr>
          <w:sz w:val="20"/>
          <w:szCs w:val="20"/>
          <w:color w:val="auto"/>
        </w:rPr>
      </w:pPr>
    </w:p>
    <w:p>
      <w:pPr>
        <w:ind w:left="1620"/>
        <w:spacing w:after="0"/>
        <w:tabs>
          <w:tab w:leader="none" w:pos="1820" w:val="left"/>
        </w:tabs>
        <w:rPr>
          <w:sz w:val="20"/>
          <w:szCs w:val="20"/>
          <w:color w:val="auto"/>
        </w:rPr>
      </w:pPr>
      <w:r>
        <w:rPr>
          <w:rFonts w:ascii="Arial" w:cs="Arial" w:eastAsia="Arial" w:hAnsi="Arial"/>
          <w:sz w:val="17"/>
          <w:szCs w:val="17"/>
          <w:color w:val="auto"/>
        </w:rPr>
        <w:t>▪</w:t>
        <w:tab/>
        <w:t>an individual who is a citizen or resident of the United States;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40" w:right="1039" w:hanging="218"/>
        <w:spacing w:after="0" w:line="276" w:lineRule="auto"/>
        <w:tabs>
          <w:tab w:leader="none" w:pos="1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corporation or entity treated as a corporation that is created or organized under the laws of the United States, any state thereof, or the District of Columbia;</w:t>
      </w:r>
    </w:p>
    <w:p>
      <w:pPr>
        <w:spacing w:after="0" w:line="63" w:lineRule="exact"/>
        <w:rPr>
          <w:rFonts w:ascii="Arial" w:cs="Arial" w:eastAsia="Arial" w:hAnsi="Arial"/>
          <w:sz w:val="17"/>
          <w:szCs w:val="17"/>
          <w:color w:val="auto"/>
        </w:rPr>
      </w:pPr>
    </w:p>
    <w:p>
      <w:pPr>
        <w:ind w:left="1840" w:hanging="218"/>
        <w:spacing w:after="0"/>
        <w:tabs>
          <w:tab w:leader="none" w:pos="1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101" w:lineRule="exact"/>
        <w:rPr>
          <w:rFonts w:ascii="Arial" w:cs="Arial" w:eastAsia="Arial" w:hAnsi="Arial"/>
          <w:sz w:val="17"/>
          <w:szCs w:val="17"/>
          <w:color w:val="auto"/>
        </w:rPr>
      </w:pPr>
    </w:p>
    <w:p>
      <w:pPr>
        <w:ind w:left="1840" w:right="899" w:hanging="218"/>
        <w:spacing w:after="0" w:line="270" w:lineRule="auto"/>
        <w:tabs>
          <w:tab w:leader="none" w:pos="1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Distributions</w:t>
      </w:r>
    </w:p>
    <w:p>
      <w:pPr>
        <w:spacing w:after="0" w:line="108" w:lineRule="exact"/>
        <w:rPr>
          <w:sz w:val="20"/>
          <w:szCs w:val="20"/>
          <w:color w:val="auto"/>
        </w:rPr>
      </w:pPr>
    </w:p>
    <w:p>
      <w:pPr>
        <w:ind w:left="1260" w:right="719"/>
        <w:spacing w:after="0" w:line="267" w:lineRule="auto"/>
        <w:rPr>
          <w:sz w:val="20"/>
          <w:szCs w:val="20"/>
          <w:color w:val="auto"/>
        </w:rPr>
      </w:pPr>
      <w:r>
        <w:rPr>
          <w:rFonts w:ascii="Arial" w:cs="Arial" w:eastAsia="Arial" w:hAnsi="Arial"/>
          <w:sz w:val="17"/>
          <w:szCs w:val="17"/>
          <w:color w:val="auto"/>
        </w:rPr>
        <w:t>We do not currently intend to pay any cash dividends on our capital stock in the foreseeable future. However, 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 Sale or Other Taxable Disposition.”</w:t>
      </w:r>
    </w:p>
    <w:p>
      <w:pPr>
        <w:spacing w:after="0" w:line="138" w:lineRule="exact"/>
        <w:rPr>
          <w:sz w:val="20"/>
          <w:szCs w:val="20"/>
          <w:color w:val="auto"/>
        </w:rPr>
      </w:pPr>
    </w:p>
    <w:p>
      <w:pPr>
        <w:ind w:left="1260" w:right="819"/>
        <w:spacing w:after="0" w:line="266" w:lineRule="auto"/>
        <w:rPr>
          <w:sz w:val="20"/>
          <w:szCs w:val="20"/>
          <w:color w:val="auto"/>
        </w:rPr>
      </w:pPr>
      <w:r>
        <w:rPr>
          <w:rFonts w:ascii="Arial" w:cs="Arial" w:eastAsia="Arial" w:hAnsi="Arial"/>
          <w:sz w:val="17"/>
          <w:szCs w:val="17"/>
          <w:color w:val="auto"/>
        </w:rPr>
        <w:t>Subject to the discussions below on effectively connected income, backup withholding and the Foreign Account Tax Compliance Act, or FATCA,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9" w:lineRule="exact"/>
        <w:rPr>
          <w:sz w:val="20"/>
          <w:szCs w:val="20"/>
          <w:color w:val="auto"/>
        </w:rPr>
      </w:pPr>
    </w:p>
    <w:p>
      <w:pPr>
        <w:ind w:left="1260" w:right="699"/>
        <w:spacing w:after="0" w:line="267"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38" w:lineRule="exact"/>
        <w:rPr>
          <w:sz w:val="20"/>
          <w:szCs w:val="20"/>
          <w:color w:val="auto"/>
        </w:rPr>
      </w:pPr>
    </w:p>
    <w:p>
      <w:pPr>
        <w:ind w:left="1260" w:right="719"/>
        <w:spacing w:after="0" w:line="267" w:lineRule="auto"/>
        <w:rPr>
          <w:sz w:val="20"/>
          <w:szCs w:val="20"/>
          <w:color w:val="auto"/>
        </w:rPr>
      </w:pPr>
      <w:r>
        <w:rPr>
          <w:rFonts w:ascii="Arial" w:cs="Arial" w:eastAsia="Arial" w:hAnsi="Arial"/>
          <w:sz w:val="17"/>
          <w:szCs w:val="17"/>
          <w:color w:val="auto"/>
        </w:rPr>
        <w:t>Any such effectively connected dividends generally will be subject to U.S. federal income tax on a net income basis at the regular graduated rates. A Non-U.S. Holder that is a corporation also generally will be subject to a branch profits tax at a rate of 30% (or such lower rate specified by an applicable income tax treaty) on its effectively connected earnings and profits attributable to such dividends, as adjusted for certain items. Non-U.S. Holders should consult their tax advisors regarding any applicable tax treaties that may provide for different rules.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Sale or Other Taxable Disposition</w:t>
      </w:r>
    </w:p>
    <w:p>
      <w:pPr>
        <w:spacing w:after="0" w:line="108" w:lineRule="exact"/>
        <w:rPr>
          <w:sz w:val="20"/>
          <w:szCs w:val="20"/>
          <w:color w:val="auto"/>
        </w:rPr>
      </w:pPr>
    </w:p>
    <w:p>
      <w:pPr>
        <w:ind w:left="1260" w:right="919"/>
        <w:spacing w:after="0" w:line="270" w:lineRule="auto"/>
        <w:rPr>
          <w:sz w:val="20"/>
          <w:szCs w:val="20"/>
          <w:color w:val="auto"/>
        </w:rPr>
      </w:pPr>
      <w:r>
        <w:rPr>
          <w:rFonts w:ascii="Arial" w:cs="Arial" w:eastAsia="Arial" w:hAnsi="Arial"/>
          <w:sz w:val="17"/>
          <w:szCs w:val="17"/>
          <w:color w:val="auto"/>
        </w:rPr>
        <w:t>Subject to the discussions below regarding backup withholding and FATCA, a Non-U.S. Holder will not be subject to U.S. federal income tax on any gain realized upon the sale or other taxable disposition of our common stock unless:</w:t>
      </w:r>
    </w:p>
    <w:p>
      <w:pPr>
        <w:spacing w:after="0" w:line="69" w:lineRule="exact"/>
        <w:rPr>
          <w:sz w:val="20"/>
          <w:szCs w:val="20"/>
          <w:color w:val="auto"/>
        </w:rPr>
      </w:pPr>
    </w:p>
    <w:p>
      <w:pPr>
        <w:ind w:left="1840" w:right="719" w:hanging="218"/>
        <w:spacing w:after="0" w:line="270" w:lineRule="auto"/>
        <w:tabs>
          <w:tab w:leader="none" w:pos="18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55" w:lineRule="exact"/>
        <w:rPr>
          <w:rFonts w:ascii="Arial" w:cs="Arial" w:eastAsia="Arial" w:hAnsi="Arial"/>
          <w:sz w:val="17"/>
          <w:szCs w:val="17"/>
          <w:color w:val="auto"/>
        </w:rPr>
      </w:pPr>
    </w:p>
    <w:p>
      <w:pPr>
        <w:ind w:left="1840" w:right="999" w:hanging="218"/>
        <w:spacing w:after="0" w:line="276" w:lineRule="auto"/>
        <w:tabs>
          <w:tab w:leader="none" w:pos="18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 or</w:t>
      </w:r>
    </w:p>
    <w:p>
      <w:pPr>
        <w:spacing w:after="0" w:line="63" w:lineRule="exact"/>
        <w:rPr>
          <w:rFonts w:ascii="Arial" w:cs="Arial" w:eastAsia="Arial" w:hAnsi="Arial"/>
          <w:sz w:val="17"/>
          <w:szCs w:val="17"/>
          <w:color w:val="auto"/>
        </w:rPr>
      </w:pPr>
    </w:p>
    <w:p>
      <w:pPr>
        <w:ind w:left="1840" w:right="879" w:hanging="218"/>
        <w:spacing w:after="0" w:line="276" w:lineRule="auto"/>
        <w:tabs>
          <w:tab w:leader="none" w:pos="18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or USRPI, by reason of our status as a U.S. real property holding corporation, or USRPHC, for U.S. federal income tax purposes.</w:t>
      </w:r>
    </w:p>
    <w:p>
      <w:pPr>
        <w:spacing w:after="0" w:line="117" w:lineRule="exact"/>
        <w:rPr>
          <w:sz w:val="20"/>
          <w:szCs w:val="20"/>
          <w:color w:val="auto"/>
        </w:rPr>
      </w:pPr>
    </w:p>
    <w:p>
      <w:pPr>
        <w:ind w:left="1260" w:right="899"/>
        <w:spacing w:after="0" w:line="276"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graduated rates. A Non-U.S. Holder that is a corporation also generally will be</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1260" w:right="1059"/>
        <w:spacing w:after="0" w:line="254" w:lineRule="auto"/>
        <w:rPr>
          <w:sz w:val="20"/>
          <w:szCs w:val="20"/>
          <w:color w:val="auto"/>
        </w:rPr>
      </w:pPr>
      <w:r>
        <w:rPr>
          <w:rFonts w:ascii="Arial" w:cs="Arial" w:eastAsia="Arial" w:hAnsi="Arial"/>
          <w:sz w:val="17"/>
          <w:szCs w:val="17"/>
          <w:color w:val="auto"/>
        </w:rPr>
        <w:t>subject to a branch profits tax at a rate of 30% (or such lower rate specified by an applicable income tax treaty) on its effectively connected earnings and profits attributable to such gain, as adjusted for certain items.</w:t>
      </w:r>
    </w:p>
    <w:p>
      <w:pPr>
        <w:spacing w:after="0" w:line="135" w:lineRule="exact"/>
        <w:rPr>
          <w:sz w:val="20"/>
          <w:szCs w:val="20"/>
          <w:color w:val="auto"/>
        </w:rPr>
      </w:pPr>
    </w:p>
    <w:p>
      <w:pPr>
        <w:ind w:left="1260" w:right="739"/>
        <w:spacing w:after="0" w:line="252" w:lineRule="auto"/>
        <w:rPr>
          <w:sz w:val="20"/>
          <w:szCs w:val="20"/>
          <w:color w:val="auto"/>
        </w:rPr>
      </w:pPr>
      <w:r>
        <w:rPr>
          <w:rFonts w:ascii="Arial" w:cs="Arial" w:eastAsia="Arial" w:hAnsi="Arial"/>
          <w:sz w:val="17"/>
          <w:szCs w:val="17"/>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38" w:lineRule="exact"/>
        <w:rPr>
          <w:sz w:val="20"/>
          <w:szCs w:val="20"/>
          <w:color w:val="auto"/>
        </w:rPr>
      </w:pPr>
    </w:p>
    <w:p>
      <w:pPr>
        <w:ind w:left="1260" w:right="719"/>
        <w:spacing w:after="0" w:line="249"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However,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If we are a USRPHC and either our common stock is not regularly traded on an established securities market or a Non-U.S. Holder holds more than 5% of our common stock, actually or constructively, during the applicable testing period, such Non-U.S. Holder will generally be taxed on any gain in the same manner as gain that is effectively connected with the conduct of a U.S. trade or business, except that the branch profits tax generally will not apply.</w:t>
      </w:r>
    </w:p>
    <w:p>
      <w:pPr>
        <w:spacing w:after="0" w:line="131" w:lineRule="exact"/>
        <w:rPr>
          <w:sz w:val="20"/>
          <w:szCs w:val="20"/>
          <w:color w:val="auto"/>
        </w:rPr>
      </w:pPr>
    </w:p>
    <w:p>
      <w:pPr>
        <w:ind w:left="1260" w:right="959"/>
        <w:spacing w:after="0" w:line="259" w:lineRule="auto"/>
        <w:rPr>
          <w:sz w:val="20"/>
          <w:szCs w:val="20"/>
          <w:color w:val="auto"/>
        </w:rPr>
      </w:pPr>
      <w:r>
        <w:rPr>
          <w:rFonts w:ascii="Arial" w:cs="Arial" w:eastAsia="Arial" w:hAnsi="Arial"/>
          <w:sz w:val="17"/>
          <w:szCs w:val="17"/>
          <w:color w:val="auto"/>
        </w:rPr>
        <w:t>Non-U.S. Holders should consult their tax advisors regarding any applicable income tax treaties that may provide for different rules.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08" w:lineRule="exact"/>
        <w:rPr>
          <w:sz w:val="20"/>
          <w:szCs w:val="20"/>
          <w:color w:val="auto"/>
        </w:rPr>
      </w:pPr>
    </w:p>
    <w:p>
      <w:pPr>
        <w:ind w:left="1260" w:right="719"/>
        <w:spacing w:after="0" w:line="249" w:lineRule="auto"/>
        <w:rPr>
          <w:sz w:val="20"/>
          <w:szCs w:val="20"/>
          <w:color w:val="auto"/>
        </w:rPr>
      </w:pPr>
      <w:r>
        <w:rPr>
          <w:rFonts w:ascii="Arial" w:cs="Arial" w:eastAsia="Arial" w:hAnsi="Arial"/>
          <w:sz w:val="17"/>
          <w:szCs w:val="17"/>
          <w:color w:val="auto"/>
        </w:rPr>
        <w:t>Payments of dividends on our common stock will not be subject to backup withholding, provided the holder either certifies its non-U.S. status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132" w:lineRule="exact"/>
        <w:rPr>
          <w:sz w:val="20"/>
          <w:szCs w:val="20"/>
          <w:color w:val="auto"/>
        </w:rPr>
      </w:pPr>
    </w:p>
    <w:p>
      <w:pPr>
        <w:jc w:val="both"/>
        <w:ind w:left="1260" w:right="779"/>
        <w:spacing w:after="0" w:line="254" w:lineRule="auto"/>
        <w:rPr>
          <w:sz w:val="20"/>
          <w:szCs w:val="20"/>
          <w:color w:val="auto"/>
        </w:rPr>
      </w:pPr>
      <w:r>
        <w:rPr>
          <w:rFonts w:ascii="Arial" w:cs="Arial" w:eastAsia="Arial" w:hAnsi="Arial"/>
          <w:sz w:val="17"/>
          <w:szCs w:val="17"/>
          <w:color w:val="auto"/>
        </w:rPr>
        <w:t>Copies of information returns that are filed with the IRS also may be made available under the provisions of an applicable treaty or agreement to the tax authorities of the country in which the Non-U.S. Holder resides or is established.</w:t>
      </w:r>
    </w:p>
    <w:p>
      <w:pPr>
        <w:spacing w:after="0" w:line="135" w:lineRule="exact"/>
        <w:rPr>
          <w:sz w:val="20"/>
          <w:szCs w:val="20"/>
          <w:color w:val="auto"/>
        </w:rPr>
      </w:pPr>
    </w:p>
    <w:p>
      <w:pPr>
        <w:jc w:val="both"/>
        <w:ind w:left="1260" w:right="779"/>
        <w:spacing w:after="0" w:line="254"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Additional Withholding Tax on Payments Made to Foreign Accounts</w:t>
      </w:r>
    </w:p>
    <w:p>
      <w:pPr>
        <w:spacing w:after="0" w:line="95" w:lineRule="exact"/>
        <w:rPr>
          <w:sz w:val="20"/>
          <w:szCs w:val="20"/>
          <w:color w:val="auto"/>
        </w:rPr>
      </w:pPr>
    </w:p>
    <w:p>
      <w:pPr>
        <w:ind w:left="1260" w:right="979"/>
        <w:spacing w:after="0" w:line="249" w:lineRule="auto"/>
        <w:rPr>
          <w:sz w:val="20"/>
          <w:szCs w:val="20"/>
          <w:color w:val="auto"/>
        </w:rPr>
      </w:pPr>
      <w:r>
        <w:rPr>
          <w:rFonts w:ascii="Arial" w:cs="Arial" w:eastAsia="Arial" w:hAnsi="Arial"/>
          <w:sz w:val="17"/>
          <w:szCs w:val="17"/>
          <w:color w:val="auto"/>
        </w:rPr>
        <w:t>Withholding taxes may be imposed under Sections 1471 to 1474 of the Code (commonly referred to as FATCA) on certain types of payments made to non-U.S. financial institutions and certain other non-U.S. entities if the non-U.S. holder fails to provide the withholding agent with documentation sufficient to show that it is compliant with FATCA.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719"/>
        <w:spacing w:after="0" w:line="266" w:lineRule="auto"/>
        <w:rPr>
          <w:sz w:val="20"/>
          <w:szCs w:val="20"/>
          <w:color w:val="auto"/>
        </w:rPr>
      </w:pPr>
      <w:r>
        <w:rPr>
          <w:rFonts w:ascii="Arial" w:cs="Arial" w:eastAsia="Arial" w:hAnsi="Arial"/>
          <w:sz w:val="17"/>
          <w:szCs w:val="17"/>
          <w:color w:val="auto"/>
        </w:rPr>
        <w:t>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undertakes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43" w:lineRule="exact"/>
        <w:rPr>
          <w:sz w:val="20"/>
          <w:szCs w:val="20"/>
          <w:color w:val="auto"/>
        </w:rPr>
      </w:pPr>
    </w:p>
    <w:p>
      <w:pPr>
        <w:ind w:left="1260" w:right="719"/>
        <w:spacing w:after="0" w:line="267"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currently to payments of dividends on our common stock. While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w:t>
      </w:r>
    </w:p>
    <w:p>
      <w:pPr>
        <w:spacing w:after="0" w:line="140" w:lineRule="exact"/>
        <w:rPr>
          <w:sz w:val="20"/>
          <w:szCs w:val="20"/>
          <w:color w:val="auto"/>
        </w:rPr>
      </w:pPr>
    </w:p>
    <w:p>
      <w:pPr>
        <w:ind w:left="1260" w:right="1079"/>
        <w:spacing w:after="0" w:line="276" w:lineRule="auto"/>
        <w:rPr>
          <w:sz w:val="20"/>
          <w:szCs w:val="20"/>
          <w:color w:val="auto"/>
        </w:rPr>
      </w:pPr>
      <w:r>
        <w:rPr>
          <w:rFonts w:ascii="Arial" w:cs="Arial" w:eastAsia="Arial" w:hAnsi="Arial"/>
          <w:sz w:val="17"/>
          <w:szCs w:val="17"/>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UNDERWRITING</w:t>
      </w:r>
    </w:p>
    <w:p>
      <w:pPr>
        <w:spacing w:after="0" w:line="363"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Subject to the terms and conditions set forth in the underwriting agreement, dated , among us and Jefferies LLC and Piper Sandler &amp; Co.,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107950</wp:posOffset>
            </wp:positionV>
            <wp:extent cx="52120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0"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48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1740" w:type="dxa"/>
            <w:vAlign w:val="bottom"/>
            <w:gridSpan w:val="4"/>
          </w:tcPr>
          <w:p>
            <w:pPr>
              <w:ind w:left="220"/>
              <w:spacing w:after="0"/>
              <w:rPr>
                <w:sz w:val="20"/>
                <w:szCs w:val="20"/>
                <w:color w:val="auto"/>
              </w:rPr>
            </w:pPr>
            <w:r>
              <w:rPr>
                <w:rFonts w:ascii="Arial" w:cs="Arial" w:eastAsia="Arial" w:hAnsi="Arial"/>
                <w:sz w:val="14"/>
                <w:szCs w:val="14"/>
                <w:b w:val="1"/>
                <w:bCs w:val="1"/>
                <w:color w:val="auto"/>
              </w:rPr>
              <w:t>NUMBER OF SHARES</w:t>
            </w:r>
          </w:p>
        </w:tc>
      </w:tr>
      <w:tr>
        <w:trPr>
          <w:trHeight w:val="229"/>
        </w:trPr>
        <w:tc>
          <w:tcPr>
            <w:tcW w:w="6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Jefferies LLC</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r>
      <w:tr>
        <w:trPr>
          <w:trHeight w:val="241"/>
        </w:trPr>
        <w:tc>
          <w:tcPr>
            <w:tcW w:w="6480" w:type="dxa"/>
            <w:vAlign w:val="bottom"/>
          </w:tcPr>
          <w:p>
            <w:pPr>
              <w:spacing w:after="0"/>
              <w:rPr>
                <w:sz w:val="20"/>
                <w:szCs w:val="20"/>
                <w:color w:val="auto"/>
              </w:rPr>
            </w:pPr>
            <w:r>
              <w:rPr>
                <w:rFonts w:ascii="Arial" w:cs="Arial" w:eastAsia="Arial" w:hAnsi="Arial"/>
                <w:sz w:val="17"/>
                <w:szCs w:val="17"/>
                <w:color w:val="auto"/>
              </w:rPr>
              <w:t>Piper Sandler &amp; Co.</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5"/>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Canaccord Genuity LLC</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r>
      <w:tr>
        <w:trPr>
          <w:trHeight w:val="250"/>
        </w:trPr>
        <w:tc>
          <w:tcPr>
            <w:tcW w:w="64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JMP Securities LLC</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r>
      <w:tr>
        <w:trPr>
          <w:trHeight w:val="228"/>
        </w:trPr>
        <w:tc>
          <w:tcPr>
            <w:tcW w:w="6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3,000,000</w:t>
            </w:r>
          </w:p>
        </w:tc>
        <w:tc>
          <w:tcPr>
            <w:tcW w:w="280" w:type="dxa"/>
            <w:vAlign w:val="bottom"/>
            <w:shd w:val="clear" w:color="auto" w:fill="CCEEFF"/>
          </w:tcPr>
          <w:p>
            <w:pPr>
              <w:spacing w:after="0"/>
              <w:rPr>
                <w:sz w:val="19"/>
                <w:szCs w:val="19"/>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-196850</wp:posOffset>
            </wp:positionV>
            <wp:extent cx="52120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-822325</wp:posOffset>
            </wp:positionV>
            <wp:extent cx="137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9" w:lineRule="exact"/>
        <w:rPr>
          <w:sz w:val="20"/>
          <w:szCs w:val="20"/>
          <w:color w:val="auto"/>
        </w:rPr>
      </w:pPr>
    </w:p>
    <w:p>
      <w:pPr>
        <w:ind w:left="1260" w:right="679"/>
        <w:spacing w:after="0" w:line="266"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43" w:lineRule="exact"/>
        <w:rPr>
          <w:sz w:val="20"/>
          <w:szCs w:val="20"/>
          <w:color w:val="auto"/>
        </w:rPr>
      </w:pPr>
    </w:p>
    <w:p>
      <w:pPr>
        <w:ind w:left="1260" w:right="679"/>
        <w:spacing w:after="0" w:line="267"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26"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Commission and Expenses</w:t>
      </w:r>
    </w:p>
    <w:p>
      <w:pPr>
        <w:spacing w:after="0" w:line="122" w:lineRule="exact"/>
        <w:rPr>
          <w:sz w:val="20"/>
          <w:szCs w:val="20"/>
          <w:color w:val="auto"/>
        </w:rPr>
      </w:pPr>
    </w:p>
    <w:p>
      <w:pPr>
        <w:ind w:left="1260" w:right="739"/>
        <w:spacing w:after="0" w:line="265" w:lineRule="auto"/>
        <w:rPr>
          <w:sz w:val="20"/>
          <w:szCs w:val="20"/>
          <w:color w:val="auto"/>
        </w:rPr>
      </w:pPr>
      <w:r>
        <w:rPr>
          <w:rFonts w:ascii="Arial" w:cs="Arial" w:eastAsia="Arial" w:hAnsi="Arial"/>
          <w:sz w:val="17"/>
          <w:szCs w:val="17"/>
          <w:color w:val="auto"/>
        </w:rPr>
        <w:t>The underwriters have advised us that they propose to offer the shares of common stock to the public at the public offering price set forth on the cover page of this prospectus and to certain dealers, which may include</w:t>
      </w:r>
    </w:p>
    <w:p>
      <w:pPr>
        <w:ind w:left="1260" w:right="779"/>
        <w:spacing w:after="0" w:line="268" w:lineRule="auto"/>
        <w:rPr>
          <w:sz w:val="20"/>
          <w:szCs w:val="20"/>
          <w:color w:val="auto"/>
        </w:rPr>
      </w:pPr>
      <w:r>
        <w:rPr>
          <w:rFonts w:ascii="Arial" w:cs="Arial" w:eastAsia="Arial" w:hAnsi="Arial"/>
          <w:sz w:val="17"/>
          <w:szCs w:val="17"/>
          <w:color w:val="auto"/>
        </w:rPr>
        <w:t>the underwriters, at that price less a concession not in excess of $ per share of common stock. After the offering, the public offering price, concession and reallowance to dealers may be reduced by the representatives. No such reduction will change the amount of proceeds to be received by us as set forth on the cover page of this prospectus.</w:t>
      </w:r>
    </w:p>
    <w:p>
      <w:pPr>
        <w:spacing w:after="0" w:line="126" w:lineRule="exact"/>
        <w:rPr>
          <w:sz w:val="20"/>
          <w:szCs w:val="20"/>
          <w:color w:val="auto"/>
        </w:rPr>
      </w:pPr>
    </w:p>
    <w:p>
      <w:pPr>
        <w:ind w:left="1260" w:right="779"/>
        <w:spacing w:after="0" w:line="26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0" w:lineRule="exact"/>
        <w:rPr>
          <w:sz w:val="20"/>
          <w:szCs w:val="20"/>
          <w:color w:val="auto"/>
        </w:rPr>
      </w:pPr>
    </w:p>
    <w:p>
      <w:pPr>
        <w:spacing w:after="0" w:line="32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511810</wp:posOffset>
            </wp:positionV>
            <wp:extent cx="52120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1840" w:type="dxa"/>
            <w:vAlign w:val="bottom"/>
          </w:tcPr>
          <w:p>
            <w:pPr>
              <w:spacing w:after="0"/>
              <w:rPr>
                <w:sz w:val="17"/>
                <w:szCs w:val="17"/>
                <w:color w:val="auto"/>
              </w:rPr>
            </w:pPr>
          </w:p>
        </w:tc>
        <w:tc>
          <w:tcPr>
            <w:tcW w:w="3140" w:type="dxa"/>
            <w:vAlign w:val="bottom"/>
            <w:tcBorders>
              <w:bottom w:val="single" w:sz="8" w:color="auto"/>
            </w:tcBorders>
            <w:gridSpan w:val="3"/>
          </w:tcPr>
          <w:p>
            <w:pPr>
              <w:jc w:val="right"/>
              <w:ind w:right="1080"/>
              <w:spacing w:after="0"/>
              <w:rPr>
                <w:sz w:val="20"/>
                <w:szCs w:val="20"/>
                <w:color w:val="auto"/>
              </w:rPr>
            </w:pPr>
            <w:r>
              <w:rPr>
                <w:rFonts w:ascii="Arial" w:cs="Arial" w:eastAsia="Arial" w:hAnsi="Arial"/>
                <w:sz w:val="14"/>
                <w:szCs w:val="14"/>
                <w:b w:val="1"/>
                <w:bCs w:val="1"/>
                <w:color w:val="auto"/>
              </w:rPr>
              <w:t>PER SHARE</w:t>
            </w:r>
          </w:p>
        </w:tc>
        <w:tc>
          <w:tcPr>
            <w:tcW w:w="80" w:type="dxa"/>
            <w:vAlign w:val="bottom"/>
          </w:tcPr>
          <w:p>
            <w:pPr>
              <w:spacing w:after="0"/>
              <w:rPr>
                <w:sz w:val="17"/>
                <w:szCs w:val="17"/>
                <w:color w:val="auto"/>
              </w:rPr>
            </w:pPr>
          </w:p>
        </w:tc>
        <w:tc>
          <w:tcPr>
            <w:tcW w:w="182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w w:val="98"/>
              </w:rPr>
              <w:t>TOTAL</w:t>
            </w:r>
          </w:p>
        </w:tc>
        <w:tc>
          <w:tcPr>
            <w:tcW w:w="1340" w:type="dxa"/>
            <w:vAlign w:val="bottom"/>
            <w:tcBorders>
              <w:bottom w:val="single" w:sz="8" w:color="auto"/>
            </w:tcBorders>
          </w:tcPr>
          <w:p>
            <w:pPr>
              <w:spacing w:after="0"/>
              <w:rPr>
                <w:sz w:val="17"/>
                <w:szCs w:val="17"/>
                <w:color w:val="auto"/>
              </w:rPr>
            </w:pPr>
          </w:p>
        </w:tc>
      </w:tr>
      <w:tr>
        <w:trPr>
          <w:trHeight w:val="202"/>
        </w:trPr>
        <w:tc>
          <w:tcPr>
            <w:tcW w:w="184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WITHOUT OPTION</w:t>
            </w: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WITH OPTION</w:t>
            </w:r>
          </w:p>
        </w:tc>
        <w:tc>
          <w:tcPr>
            <w:tcW w:w="18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WITHOUT OPTION</w:t>
            </w:r>
          </w:p>
        </w:tc>
        <w:tc>
          <w:tcPr>
            <w:tcW w:w="1340" w:type="dxa"/>
            <w:vAlign w:val="bottom"/>
          </w:tcPr>
          <w:p>
            <w:pPr>
              <w:jc w:val="right"/>
              <w:ind w:right="240"/>
              <w:spacing w:after="0"/>
              <w:rPr>
                <w:sz w:val="20"/>
                <w:szCs w:val="20"/>
                <w:color w:val="auto"/>
              </w:rPr>
            </w:pPr>
            <w:r>
              <w:rPr>
                <w:rFonts w:ascii="Arial" w:cs="Arial" w:eastAsia="Arial" w:hAnsi="Arial"/>
                <w:sz w:val="14"/>
                <w:szCs w:val="14"/>
                <w:b w:val="1"/>
                <w:bCs w:val="1"/>
                <w:color w:val="auto"/>
              </w:rPr>
              <w:t>WITH OPTION</w:t>
            </w:r>
          </w:p>
        </w:tc>
      </w:tr>
      <w:tr>
        <w:trPr>
          <w:trHeight w:val="189"/>
        </w:trPr>
        <w:tc>
          <w:tcPr>
            <w:tcW w:w="184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 PURCHASE</w:t>
            </w: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TO PURCHASE</w:t>
            </w:r>
          </w:p>
        </w:tc>
        <w:tc>
          <w:tcPr>
            <w:tcW w:w="18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TO PURCHASE</w:t>
            </w:r>
          </w:p>
        </w:tc>
        <w:tc>
          <w:tcPr>
            <w:tcW w:w="1340" w:type="dxa"/>
            <w:vAlign w:val="bottom"/>
          </w:tcPr>
          <w:p>
            <w:pPr>
              <w:jc w:val="right"/>
              <w:ind w:right="200"/>
              <w:spacing w:after="0"/>
              <w:rPr>
                <w:sz w:val="20"/>
                <w:szCs w:val="20"/>
                <w:color w:val="auto"/>
              </w:rPr>
            </w:pPr>
            <w:r>
              <w:rPr>
                <w:rFonts w:ascii="Arial" w:cs="Arial" w:eastAsia="Arial" w:hAnsi="Arial"/>
                <w:sz w:val="14"/>
                <w:szCs w:val="14"/>
                <w:b w:val="1"/>
                <w:bCs w:val="1"/>
                <w:color w:val="auto"/>
              </w:rPr>
              <w:t>TO PURCHASE</w:t>
            </w:r>
          </w:p>
        </w:tc>
      </w:tr>
      <w:tr>
        <w:trPr>
          <w:trHeight w:val="190"/>
        </w:trPr>
        <w:tc>
          <w:tcPr>
            <w:tcW w:w="1840" w:type="dxa"/>
            <w:vAlign w:val="bottom"/>
          </w:tcPr>
          <w:p>
            <w:pPr>
              <w:spacing w:after="0"/>
              <w:rPr>
                <w:sz w:val="16"/>
                <w:szCs w:val="16"/>
                <w:color w:val="auto"/>
              </w:rPr>
            </w:pPr>
          </w:p>
        </w:tc>
        <w:tc>
          <w:tcPr>
            <w:tcW w:w="6380" w:type="dxa"/>
            <w:vAlign w:val="bottom"/>
            <w:gridSpan w:val="8"/>
          </w:tcPr>
          <w:p>
            <w:pPr>
              <w:jc w:val="right"/>
              <w:spacing w:after="0"/>
              <w:rPr>
                <w:sz w:val="20"/>
                <w:szCs w:val="20"/>
                <w:color w:val="auto"/>
              </w:rPr>
            </w:pPr>
            <w:r>
              <w:rPr>
                <w:rFonts w:ascii="Arial" w:cs="Arial" w:eastAsia="Arial" w:hAnsi="Arial"/>
                <w:sz w:val="14"/>
                <w:szCs w:val="14"/>
                <w:b w:val="1"/>
                <w:bCs w:val="1"/>
                <w:color w:val="auto"/>
              </w:rPr>
              <w:t>ADDITIONAL SHARES ADDITIONAL SHARES  ADDITIONAL SHARES  ADDITIONAL SHARES</w:t>
            </w:r>
          </w:p>
        </w:tc>
      </w:tr>
      <w:tr>
        <w:trPr>
          <w:trHeight w:val="26"/>
        </w:trPr>
        <w:tc>
          <w:tcPr>
            <w:tcW w:w="18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1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Public offering price</w:t>
            </w:r>
          </w:p>
        </w:tc>
        <w:tc>
          <w:tcPr>
            <w:tcW w:w="1540" w:type="dxa"/>
            <w:vAlign w:val="bottom"/>
            <w:shd w:val="clear" w:color="auto" w:fill="CCEEFF"/>
          </w:tcPr>
          <w:p>
            <w:pPr>
              <w:jc w:val="right"/>
              <w:ind w:right="942"/>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41"/>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0"/>
              <w:spacing w:after="0"/>
              <w:rPr>
                <w:sz w:val="20"/>
                <w:szCs w:val="20"/>
                <w:color w:val="auto"/>
              </w:rPr>
            </w:pPr>
            <w:r>
              <w:rPr>
                <w:rFonts w:ascii="Arial" w:cs="Arial" w:eastAsia="Arial" w:hAnsi="Arial"/>
                <w:sz w:val="17"/>
                <w:szCs w:val="17"/>
                <w:color w:val="auto"/>
              </w:rPr>
              <w:t>$</w:t>
            </w:r>
          </w:p>
        </w:tc>
      </w:tr>
      <w:tr>
        <w:trPr>
          <w:trHeight w:val="217"/>
        </w:trPr>
        <w:tc>
          <w:tcPr>
            <w:tcW w:w="1840" w:type="dxa"/>
            <w:vAlign w:val="bottom"/>
          </w:tcPr>
          <w:p>
            <w:pPr>
              <w:spacing w:after="0"/>
              <w:rPr>
                <w:sz w:val="20"/>
                <w:szCs w:val="20"/>
                <w:color w:val="auto"/>
              </w:rPr>
            </w:pPr>
            <w:r>
              <w:rPr>
                <w:rFonts w:ascii="Arial" w:cs="Arial" w:eastAsia="Arial" w:hAnsi="Arial"/>
                <w:sz w:val="17"/>
                <w:szCs w:val="17"/>
                <w:b w:val="1"/>
                <w:bCs w:val="1"/>
                <w:color w:val="auto"/>
              </w:rPr>
              <w:t>Underwriting</w:t>
            </w: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840" w:type="dxa"/>
            <w:vAlign w:val="bottom"/>
          </w:tcPr>
          <w:p>
            <w:pPr>
              <w:ind w:left="180"/>
              <w:spacing w:after="0"/>
              <w:rPr>
                <w:sz w:val="20"/>
                <w:szCs w:val="20"/>
                <w:color w:val="auto"/>
              </w:rPr>
            </w:pPr>
            <w:r>
              <w:rPr>
                <w:rFonts w:ascii="Arial" w:cs="Arial" w:eastAsia="Arial" w:hAnsi="Arial"/>
                <w:sz w:val="17"/>
                <w:szCs w:val="17"/>
                <w:b w:val="1"/>
                <w:bCs w:val="1"/>
                <w:color w:val="auto"/>
              </w:rPr>
              <w:t>discounts and</w:t>
            </w: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840" w:type="dxa"/>
            <w:vAlign w:val="bottom"/>
          </w:tcPr>
          <w:p>
            <w:pPr>
              <w:ind w:left="180"/>
              <w:spacing w:after="0"/>
              <w:rPr>
                <w:sz w:val="20"/>
                <w:szCs w:val="20"/>
                <w:color w:val="auto"/>
              </w:rPr>
            </w:pPr>
            <w:r>
              <w:rPr>
                <w:rFonts w:ascii="Arial" w:cs="Arial" w:eastAsia="Arial" w:hAnsi="Arial"/>
                <w:sz w:val="17"/>
                <w:szCs w:val="17"/>
                <w:b w:val="1"/>
                <w:bCs w:val="1"/>
                <w:color w:val="auto"/>
              </w:rPr>
              <w:t>commissions paid</w:t>
            </w: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7"/>
        </w:trPr>
        <w:tc>
          <w:tcPr>
            <w:tcW w:w="1840" w:type="dxa"/>
            <w:vAlign w:val="bottom"/>
          </w:tcPr>
          <w:p>
            <w:pPr>
              <w:ind w:left="180"/>
              <w:spacing w:after="0"/>
              <w:rPr>
                <w:sz w:val="20"/>
                <w:szCs w:val="20"/>
                <w:color w:val="auto"/>
              </w:rPr>
            </w:pPr>
            <w:r>
              <w:rPr>
                <w:rFonts w:ascii="Arial" w:cs="Arial" w:eastAsia="Arial" w:hAnsi="Arial"/>
                <w:sz w:val="17"/>
                <w:szCs w:val="17"/>
                <w:b w:val="1"/>
                <w:bCs w:val="1"/>
                <w:color w:val="auto"/>
              </w:rPr>
              <w:t>by us</w:t>
            </w:r>
          </w:p>
        </w:tc>
        <w:tc>
          <w:tcPr>
            <w:tcW w:w="1540" w:type="dxa"/>
            <w:vAlign w:val="bottom"/>
          </w:tcPr>
          <w:p>
            <w:pPr>
              <w:jc w:val="right"/>
              <w:ind w:right="942"/>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540" w:type="dxa"/>
            <w:vAlign w:val="bottom"/>
          </w:tcPr>
          <w:p>
            <w:pPr>
              <w:jc w:val="right"/>
              <w:ind w:righ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540" w:type="dxa"/>
            <w:vAlign w:val="bottom"/>
          </w:tcPr>
          <w:p>
            <w:pPr>
              <w:jc w:val="right"/>
              <w:ind w:right="94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940"/>
              <w:spacing w:after="0"/>
              <w:rPr>
                <w:sz w:val="20"/>
                <w:szCs w:val="20"/>
                <w:color w:val="auto"/>
              </w:rPr>
            </w:pPr>
            <w:r>
              <w:rPr>
                <w:rFonts w:ascii="Arial" w:cs="Arial" w:eastAsia="Arial" w:hAnsi="Arial"/>
                <w:sz w:val="17"/>
                <w:szCs w:val="17"/>
                <w:color w:val="auto"/>
              </w:rPr>
              <w:t>$</w:t>
            </w:r>
          </w:p>
        </w:tc>
      </w:tr>
      <w:tr>
        <w:trPr>
          <w:trHeight w:val="219"/>
        </w:trPr>
        <w:tc>
          <w:tcPr>
            <w:tcW w:w="1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Proceeds to us,</w:t>
            </w:r>
          </w:p>
        </w:tc>
        <w:tc>
          <w:tcPr>
            <w:tcW w:w="1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5"/>
        </w:trPr>
        <w:tc>
          <w:tcPr>
            <w:tcW w:w="184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before expenses</w:t>
            </w:r>
          </w:p>
        </w:tc>
        <w:tc>
          <w:tcPr>
            <w:tcW w:w="1540" w:type="dxa"/>
            <w:vAlign w:val="bottom"/>
            <w:shd w:val="clear" w:color="auto" w:fill="CCEEFF"/>
          </w:tcPr>
          <w:p>
            <w:pPr>
              <w:jc w:val="right"/>
              <w:ind w:right="942"/>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41"/>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0"/>
              <w:spacing w:after="0"/>
              <w:rPr>
                <w:sz w:val="20"/>
                <w:szCs w:val="20"/>
                <w:color w:val="auto"/>
              </w:rPr>
            </w:pPr>
            <w:r>
              <w:rPr>
                <w:rFonts w:ascii="Arial" w:cs="Arial" w:eastAsia="Arial" w:hAnsi="Arial"/>
                <w:sz w:val="17"/>
                <w:szCs w:val="17"/>
                <w:color w:val="auto"/>
              </w:rPr>
              <w:t>$</w:t>
            </w:r>
          </w:p>
        </w:tc>
      </w:tr>
      <w:tr>
        <w:trPr>
          <w:trHeight w:val="166"/>
        </w:trPr>
        <w:tc>
          <w:tcPr>
            <w:tcW w:w="18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-1105535</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-1105535</wp:posOffset>
            </wp:positionV>
            <wp:extent cx="514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-1105535</wp:posOffset>
            </wp:positionV>
            <wp:extent cx="342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-1105535</wp:posOffset>
            </wp:positionV>
            <wp:extent cx="11658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22" w:lineRule="exact"/>
        <w:rPr>
          <w:sz w:val="20"/>
          <w:szCs w:val="20"/>
          <w:color w:val="auto"/>
        </w:rPr>
      </w:pPr>
    </w:p>
    <w:p>
      <w:pPr>
        <w:ind w:left="1260" w:right="799"/>
        <w:spacing w:after="0" w:line="268" w:lineRule="auto"/>
        <w:rPr>
          <w:sz w:val="20"/>
          <w:szCs w:val="20"/>
          <w:color w:val="auto"/>
        </w:rPr>
      </w:pPr>
      <w:r>
        <w:rPr>
          <w:rFonts w:ascii="Arial" w:cs="Arial" w:eastAsia="Arial" w:hAnsi="Arial"/>
          <w:sz w:val="17"/>
          <w:szCs w:val="17"/>
          <w:color w:val="auto"/>
        </w:rPr>
        <w:t>We estimate expenses payable by us in connection with this offering, other than the estimated underwriting discounts and commissions referred to above, will be approximately $450,000. We will agree to reimburse the underwriters for certain of their expenses incurred in connection with this offering in an amount not to exceed $35,000 in the aggregate.</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Listing</w:t>
      </w:r>
    </w:p>
    <w:p>
      <w:pPr>
        <w:spacing w:after="0" w:line="12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common stock is listed on The Nasdaq Global Market under the trading symbol “TELA”.</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Stamp Taxes</w:t>
      </w:r>
    </w:p>
    <w:p>
      <w:pPr>
        <w:spacing w:after="0" w:line="108" w:lineRule="exact"/>
        <w:rPr>
          <w:sz w:val="20"/>
          <w:szCs w:val="20"/>
          <w:color w:val="auto"/>
        </w:rPr>
      </w:pPr>
    </w:p>
    <w:p>
      <w:pPr>
        <w:ind w:left="1260" w:right="719"/>
        <w:spacing w:after="0" w:line="270" w:lineRule="auto"/>
        <w:rPr>
          <w:sz w:val="20"/>
          <w:szCs w:val="20"/>
          <w:color w:val="auto"/>
        </w:rPr>
      </w:pPr>
      <w:r>
        <w:rPr>
          <w:rFonts w:ascii="Arial" w:cs="Arial" w:eastAsia="Arial" w:hAnsi="Arial"/>
          <w:sz w:val="17"/>
          <w:szCs w:val="17"/>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Option to Purchase Additional Shares</w:t>
      </w:r>
    </w:p>
    <w:p>
      <w:pPr>
        <w:spacing w:after="0" w:line="108" w:lineRule="exact"/>
        <w:rPr>
          <w:sz w:val="20"/>
          <w:szCs w:val="20"/>
          <w:color w:val="auto"/>
        </w:rPr>
      </w:pPr>
    </w:p>
    <w:p>
      <w:pPr>
        <w:ind w:left="1260" w:right="719"/>
        <w:spacing w:after="0" w:line="267"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 part, up to an aggregate of 450,000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No Sales of Similar Securities</w:t>
      </w:r>
    </w:p>
    <w:p>
      <w:pPr>
        <w:spacing w:after="0" w:line="122" w:lineRule="exact"/>
        <w:rPr>
          <w:sz w:val="20"/>
          <w:szCs w:val="20"/>
          <w:color w:val="auto"/>
        </w:rPr>
      </w:pPr>
    </w:p>
    <w:p>
      <w:pPr>
        <w:ind w:left="1260" w:right="1159"/>
        <w:spacing w:after="0" w:line="276" w:lineRule="auto"/>
        <w:rPr>
          <w:sz w:val="20"/>
          <w:szCs w:val="20"/>
          <w:color w:val="auto"/>
        </w:rPr>
      </w:pPr>
      <w:r>
        <w:rPr>
          <w:rFonts w:ascii="Arial" w:cs="Arial" w:eastAsia="Arial" w:hAnsi="Arial"/>
          <w:sz w:val="17"/>
          <w:szCs w:val="17"/>
          <w:color w:val="auto"/>
        </w:rPr>
        <w:t>We, our executive officers and directors have agreed, subject to specified exceptions, not to directly or indirectly:</w:t>
      </w:r>
    </w:p>
    <w:p>
      <w:pPr>
        <w:spacing w:after="0" w:line="50" w:lineRule="exact"/>
        <w:rPr>
          <w:sz w:val="20"/>
          <w:szCs w:val="20"/>
          <w:color w:val="auto"/>
        </w:rPr>
      </w:pPr>
    </w:p>
    <w:p>
      <w:pPr>
        <w:ind w:left="1840" w:right="899" w:hanging="218"/>
        <w:spacing w:after="0" w:line="266" w:lineRule="auto"/>
        <w:tabs>
          <w:tab w:leader="none" w:pos="18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sell, offer to sell, contract to sell or lend, effect any short sale, establish or increase any "put equivalent position" (as defined in Rule 16a-1(h) under the Exchange Act) or liquidate or decrease any "call equivalent position" (as defined in Rule 16a-1(b) under the Exchange Act), pledge, hypothecate or grant any security interest in, enter into a swap, hedge or similar arrangement that transfers the economic risk of ownership of, or 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62" w:lineRule="exact"/>
        <w:rPr>
          <w:rFonts w:ascii="Arial" w:cs="Arial" w:eastAsia="Arial" w:hAnsi="Arial"/>
          <w:sz w:val="17"/>
          <w:szCs w:val="17"/>
          <w:color w:val="auto"/>
        </w:rPr>
      </w:pPr>
    </w:p>
    <w:p>
      <w:pPr>
        <w:ind w:left="1840" w:hanging="218"/>
        <w:spacing w:after="0"/>
        <w:tabs>
          <w:tab w:leader="none" w:pos="18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publicly announce an intention to do any of the foregoing</w:t>
      </w:r>
    </w:p>
    <w:p>
      <w:pPr>
        <w:spacing w:after="0" w:line="169" w:lineRule="exact"/>
        <w:rPr>
          <w:sz w:val="20"/>
          <w:szCs w:val="20"/>
          <w:color w:val="auto"/>
        </w:rPr>
      </w:pPr>
    </w:p>
    <w:p>
      <w:pPr>
        <w:ind w:left="1260" w:right="699"/>
        <w:spacing w:after="0" w:line="276" w:lineRule="auto"/>
        <w:rPr>
          <w:sz w:val="20"/>
          <w:szCs w:val="20"/>
          <w:color w:val="auto"/>
        </w:rPr>
      </w:pPr>
      <w:r>
        <w:rPr>
          <w:rFonts w:ascii="Arial" w:cs="Arial" w:eastAsia="Arial" w:hAnsi="Arial"/>
          <w:sz w:val="17"/>
          <w:szCs w:val="17"/>
          <w:color w:val="auto"/>
        </w:rPr>
        <w:t>for a period of 90 days after the date of this prospectus without the prior written consent of Jefferies LLC and Piper Sandler &amp; Co.</w:t>
      </w:r>
    </w:p>
    <w:p>
      <w:pPr>
        <w:spacing w:after="0" w:line="131" w:lineRule="exact"/>
        <w:rPr>
          <w:sz w:val="20"/>
          <w:szCs w:val="20"/>
          <w:color w:val="auto"/>
        </w:rPr>
      </w:pPr>
    </w:p>
    <w:p>
      <w:pPr>
        <w:ind w:left="1260" w:right="739"/>
        <w:spacing w:after="0" w:line="276" w:lineRule="auto"/>
        <w:rPr>
          <w:sz w:val="20"/>
          <w:szCs w:val="20"/>
          <w:color w:val="auto"/>
        </w:rPr>
      </w:pPr>
      <w:r>
        <w:rPr>
          <w:rFonts w:ascii="Arial" w:cs="Arial" w:eastAsia="Arial" w:hAnsi="Arial"/>
          <w:sz w:val="17"/>
          <w:szCs w:val="17"/>
          <w:color w:val="auto"/>
        </w:rPr>
        <w:t>This restriction terminates after the close of trading of the common stock on and including the 90th day after the date of this prospectus.</w:t>
      </w:r>
    </w:p>
    <w:p>
      <w:pPr>
        <w:spacing w:after="0" w:line="117" w:lineRule="exact"/>
        <w:rPr>
          <w:sz w:val="20"/>
          <w:szCs w:val="20"/>
          <w:color w:val="auto"/>
        </w:rPr>
      </w:pPr>
    </w:p>
    <w:p>
      <w:pPr>
        <w:ind w:left="1260" w:right="839"/>
        <w:spacing w:after="0" w:line="268" w:lineRule="auto"/>
        <w:rPr>
          <w:sz w:val="20"/>
          <w:szCs w:val="20"/>
          <w:color w:val="auto"/>
        </w:rPr>
      </w:pPr>
      <w:r>
        <w:rPr>
          <w:rFonts w:ascii="Arial" w:cs="Arial" w:eastAsia="Arial" w:hAnsi="Arial"/>
          <w:sz w:val="17"/>
          <w:szCs w:val="17"/>
          <w:color w:val="auto"/>
        </w:rPr>
        <w:t>Jefferies LLC and Piper Sandler &amp; Co. may, in their sole discretion and at any time or from time to time before the termination of the 90-day period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Stabilization</w:t>
      </w:r>
    </w:p>
    <w:p>
      <w:pPr>
        <w:spacing w:after="0" w:line="122" w:lineRule="exact"/>
        <w:rPr>
          <w:sz w:val="20"/>
          <w:szCs w:val="20"/>
          <w:color w:val="auto"/>
        </w:rPr>
      </w:pPr>
    </w:p>
    <w:p>
      <w:pPr>
        <w:ind w:left="1260" w:right="699"/>
        <w:spacing w:after="0" w:line="267" w:lineRule="auto"/>
        <w:rPr>
          <w:sz w:val="20"/>
          <w:szCs w:val="20"/>
          <w:color w:val="auto"/>
        </w:rPr>
      </w:pPr>
      <w:r>
        <w:rPr>
          <w:rFonts w:ascii="Arial" w:cs="Arial" w:eastAsia="Arial" w:hAnsi="Arial"/>
          <w:sz w:val="17"/>
          <w:szCs w:val="17"/>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26" w:lineRule="exact"/>
        <w:rPr>
          <w:sz w:val="20"/>
          <w:szCs w:val="20"/>
          <w:color w:val="auto"/>
        </w:rPr>
      </w:pPr>
    </w:p>
    <w:p>
      <w:pPr>
        <w:ind w:left="1260" w:right="879"/>
        <w:spacing w:after="0" w:line="267"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38" w:lineRule="exact"/>
        <w:rPr>
          <w:sz w:val="20"/>
          <w:szCs w:val="20"/>
          <w:color w:val="auto"/>
        </w:rPr>
      </w:pPr>
    </w:p>
    <w:p>
      <w:pPr>
        <w:ind w:left="1260" w:right="699"/>
        <w:spacing w:after="0" w:line="268"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37" w:lineRule="exact"/>
        <w:rPr>
          <w:sz w:val="20"/>
          <w:szCs w:val="20"/>
          <w:color w:val="auto"/>
        </w:rPr>
      </w:pPr>
    </w:p>
    <w:p>
      <w:pPr>
        <w:ind w:left="1260" w:right="799"/>
        <w:spacing w:after="0" w:line="266"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28"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39" w:lineRule="exact"/>
        <w:rPr>
          <w:sz w:val="20"/>
          <w:szCs w:val="20"/>
          <w:color w:val="auto"/>
        </w:rPr>
      </w:pPr>
    </w:p>
    <w:p>
      <w:pPr>
        <w:ind w:left="1260" w:right="699"/>
        <w:spacing w:after="0" w:line="267" w:lineRule="auto"/>
        <w:rPr>
          <w:sz w:val="20"/>
          <w:szCs w:val="20"/>
          <w:color w:val="auto"/>
        </w:rPr>
      </w:pPr>
      <w:r>
        <w:rPr>
          <w:rFonts w:ascii="Arial" w:cs="Arial" w:eastAsia="Arial" w:hAnsi="Arial"/>
          <w:sz w:val="17"/>
          <w:szCs w:val="17"/>
          <w:color w:val="auto"/>
        </w:rPr>
        <w:t>The underwriters may also engage in passive market making transactions in our common stock on The Nasdaq Global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Electronic Distribution</w:t>
      </w:r>
    </w:p>
    <w:p>
      <w:pPr>
        <w:spacing w:after="0" w:line="108" w:lineRule="exact"/>
        <w:rPr>
          <w:sz w:val="20"/>
          <w:szCs w:val="20"/>
          <w:color w:val="auto"/>
        </w:rPr>
      </w:pPr>
    </w:p>
    <w:p>
      <w:pPr>
        <w:ind w:left="1260" w:right="699"/>
        <w:spacing w:after="0" w:line="266"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Other Activities and Relationships</w:t>
      </w:r>
    </w:p>
    <w:p>
      <w:pPr>
        <w:spacing w:after="0" w:line="108" w:lineRule="exact"/>
        <w:rPr>
          <w:sz w:val="20"/>
          <w:szCs w:val="20"/>
          <w:color w:val="auto"/>
        </w:rPr>
      </w:pPr>
    </w:p>
    <w:p>
      <w:pPr>
        <w:ind w:left="1260" w:right="1159"/>
        <w:spacing w:after="0" w:line="250" w:lineRule="auto"/>
        <w:rPr>
          <w:sz w:val="20"/>
          <w:szCs w:val="20"/>
          <w:color w:val="auto"/>
        </w:rPr>
      </w:pPr>
      <w:r>
        <w:rPr>
          <w:rFonts w:ascii="Arial" w:cs="Arial" w:eastAsia="Arial" w:hAnsi="Arial"/>
          <w:sz w:val="17"/>
          <w:szCs w:val="17"/>
          <w:color w:val="auto"/>
        </w:rPr>
        <w:t>The underwriter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their respective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27" w:lineRule="exact"/>
        <w:rPr>
          <w:sz w:val="20"/>
          <w:szCs w:val="20"/>
          <w:color w:val="auto"/>
        </w:rPr>
      </w:pPr>
    </w:p>
    <w:p>
      <w:pPr>
        <w:ind w:left="1260" w:right="719"/>
        <w:spacing w:after="0" w:line="249" w:lineRule="auto"/>
        <w:rPr>
          <w:sz w:val="20"/>
          <w:szCs w:val="20"/>
          <w:color w:val="auto"/>
        </w:rPr>
      </w:pPr>
      <w:r>
        <w:rPr>
          <w:rFonts w:ascii="Arial" w:cs="Arial" w:eastAsia="Arial" w:hAnsi="Arial"/>
          <w:sz w:val="17"/>
          <w:szCs w:val="17"/>
          <w:color w:val="auto"/>
        </w:rPr>
        <w:t>In the ordinary course of their various business activities, the underwriter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Selling Restrictions</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Notice to Prospective Investors in the EEA</w:t>
      </w:r>
    </w:p>
    <w:p>
      <w:pPr>
        <w:spacing w:after="0" w:line="68" w:lineRule="exact"/>
        <w:rPr>
          <w:sz w:val="20"/>
          <w:szCs w:val="20"/>
          <w:color w:val="auto"/>
        </w:rPr>
      </w:pPr>
    </w:p>
    <w:p>
      <w:pPr>
        <w:ind w:left="1260" w:right="779"/>
        <w:spacing w:after="0" w:line="252" w:lineRule="auto"/>
        <w:rPr>
          <w:sz w:val="20"/>
          <w:szCs w:val="20"/>
          <w:color w:val="auto"/>
        </w:rPr>
      </w:pPr>
      <w:r>
        <w:rPr>
          <w:rFonts w:ascii="Arial" w:cs="Arial" w:eastAsia="Arial" w:hAnsi="Arial"/>
          <w:sz w:val="17"/>
          <w:szCs w:val="17"/>
          <w:color w:val="auto"/>
        </w:rPr>
        <w:t>In relation to each member state of the European Economic Area (each, an “EEA Member State”), an offer to the public of any securities which are the subject of the offering contemplated by this prospectus may not be made in that EEA Member State except that an offer to the public in that EEA Member State of any securities may be made at any time under the following exemptions under the Prospectus Regulation:</w:t>
      </w:r>
    </w:p>
    <w:p>
      <w:pPr>
        <w:spacing w:after="0" w:line="138" w:lineRule="exact"/>
        <w:rPr>
          <w:sz w:val="20"/>
          <w:szCs w:val="20"/>
          <w:color w:val="auto"/>
        </w:rPr>
      </w:pPr>
    </w:p>
    <w:p>
      <w:pPr>
        <w:ind w:left="1620" w:hanging="358"/>
        <w:spacing w:after="0"/>
        <w:tabs>
          <w:tab w:leader="none" w:pos="1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Regulation;</w:t>
      </w:r>
    </w:p>
    <w:p>
      <w:pPr>
        <w:spacing w:after="0" w:line="155" w:lineRule="exact"/>
        <w:rPr>
          <w:rFonts w:ascii="Arial" w:cs="Arial" w:eastAsia="Arial" w:hAnsi="Arial"/>
          <w:sz w:val="17"/>
          <w:szCs w:val="17"/>
          <w:color w:val="auto"/>
        </w:rPr>
      </w:pPr>
    </w:p>
    <w:p>
      <w:pPr>
        <w:ind w:left="1620" w:right="719" w:hanging="358"/>
        <w:spacing w:after="0" w:line="270" w:lineRule="auto"/>
        <w:tabs>
          <w:tab w:leader="none" w:pos="1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Regulation), as permitted under the Prospectus Regulation, subject to obtaining the prior consent of the underwriters or the underwriters nominated by us for any such offer; or</w:t>
      </w:r>
    </w:p>
    <w:p>
      <w:pPr>
        <w:spacing w:after="0" w:line="136" w:lineRule="exact"/>
        <w:rPr>
          <w:rFonts w:ascii="Arial" w:cs="Arial" w:eastAsia="Arial" w:hAnsi="Arial"/>
          <w:sz w:val="17"/>
          <w:szCs w:val="17"/>
          <w:color w:val="auto"/>
        </w:rPr>
      </w:pPr>
    </w:p>
    <w:p>
      <w:pPr>
        <w:ind w:left="1620" w:right="919" w:hanging="358"/>
        <w:spacing w:after="0" w:line="268" w:lineRule="auto"/>
        <w:tabs>
          <w:tab w:leader="none" w:pos="1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 provided that no such offer of securities shall require us or any of the underwriters to publish a prospectus pursuant to Article 3 of the Prospectus Regulation or supplement a prospectus pursuant to Article 23 of the Prospectus Regulation.</w:t>
      </w:r>
    </w:p>
    <w:p>
      <w:pPr>
        <w:spacing w:after="0" w:line="112" w:lineRule="exact"/>
        <w:rPr>
          <w:sz w:val="20"/>
          <w:szCs w:val="20"/>
          <w:color w:val="auto"/>
        </w:rPr>
      </w:pPr>
    </w:p>
    <w:p>
      <w:pPr>
        <w:ind w:left="1260" w:right="719"/>
        <w:spacing w:after="0" w:line="252" w:lineRule="auto"/>
        <w:rPr>
          <w:sz w:val="20"/>
          <w:szCs w:val="20"/>
          <w:color w:val="auto"/>
        </w:rPr>
      </w:pPr>
      <w:r>
        <w:rPr>
          <w:rFonts w:ascii="Arial" w:cs="Arial" w:eastAsia="Arial" w:hAnsi="Arial"/>
          <w:sz w:val="17"/>
          <w:szCs w:val="17"/>
          <w:color w:val="auto"/>
        </w:rPr>
        <w:t>For the purposes of this provision, the expression “offer to the public” in relation to any securities in any EEA Member State means the communication in any form and by any means of sufficient information on the terms of the offer and the securities to be offered so as to enable an investor to decide to purchase or subscribe the securities, and the expression “Prospectus Regulation” means Regulation (EU) 2017/1129.</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Notice to Prospective Investors in the United Kingdom</w:t>
      </w:r>
    </w:p>
    <w:p>
      <w:pPr>
        <w:spacing w:after="0" w:line="68" w:lineRule="exact"/>
        <w:rPr>
          <w:sz w:val="20"/>
          <w:szCs w:val="20"/>
          <w:color w:val="auto"/>
        </w:rPr>
      </w:pPr>
    </w:p>
    <w:p>
      <w:pPr>
        <w:ind w:left="1260" w:right="799"/>
        <w:spacing w:after="0" w:line="250"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w:t>
      </w:r>
    </w:p>
    <w:p>
      <w:pPr>
        <w:spacing w:after="0" w:line="142" w:lineRule="exact"/>
        <w:rPr>
          <w:sz w:val="20"/>
          <w:szCs w:val="20"/>
          <w:color w:val="auto"/>
        </w:rPr>
      </w:pPr>
    </w:p>
    <w:p>
      <w:pPr>
        <w:ind w:left="1260" w:right="799"/>
        <w:spacing w:after="0" w:line="254"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Notice to Prospective Investors in Bermuda</w:t>
      </w:r>
    </w:p>
    <w:p>
      <w:pPr>
        <w:spacing w:after="0" w:line="68" w:lineRule="exact"/>
        <w:rPr>
          <w:sz w:val="20"/>
          <w:szCs w:val="20"/>
          <w:color w:val="auto"/>
        </w:rPr>
      </w:pPr>
    </w:p>
    <w:p>
      <w:pPr>
        <w:ind w:left="1260" w:right="759"/>
        <w:spacing w:after="0" w:line="252" w:lineRule="auto"/>
        <w:rPr>
          <w:sz w:val="20"/>
          <w:szCs w:val="20"/>
          <w:color w:val="auto"/>
        </w:rPr>
      </w:pPr>
      <w:r>
        <w:rPr>
          <w:rFonts w:ascii="Arial" w:cs="Arial" w:eastAsia="Arial" w:hAnsi="Arial"/>
          <w:sz w:val="17"/>
          <w:szCs w:val="17"/>
          <w:color w:val="auto"/>
        </w:rPr>
        <w:t>Securities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Notice to Prospective Investors in Australia</w:t>
      </w:r>
    </w:p>
    <w:p>
      <w:pPr>
        <w:spacing w:after="0" w:line="68" w:lineRule="exact"/>
        <w:rPr>
          <w:sz w:val="20"/>
          <w:szCs w:val="20"/>
          <w:color w:val="auto"/>
        </w:rPr>
      </w:pPr>
    </w:p>
    <w:p>
      <w:pPr>
        <w:ind w:left="1260" w:right="779"/>
        <w:spacing w:after="0" w:line="252"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 you confirm and warrant that you are either:</w:t>
      </w:r>
    </w:p>
    <w:p>
      <w:pPr>
        <w:spacing w:after="0" w:line="70" w:lineRule="exact"/>
        <w:rPr>
          <w:sz w:val="20"/>
          <w:szCs w:val="20"/>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“sophisticated investor” under section 708(8)(a) or (b) of the Corporations Act;</w:t>
      </w:r>
    </w:p>
    <w:p>
      <w:pPr>
        <w:spacing w:after="0" w:line="88" w:lineRule="exact"/>
        <w:rPr>
          <w:rFonts w:ascii="Arial" w:cs="Arial" w:eastAsia="Arial" w:hAnsi="Arial"/>
          <w:sz w:val="17"/>
          <w:szCs w:val="17"/>
          <w:color w:val="auto"/>
        </w:rPr>
      </w:pPr>
    </w:p>
    <w:p>
      <w:pPr>
        <w:ind w:left="1840" w:right="739" w:hanging="218"/>
        <w:spacing w:after="0" w:line="270"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55"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person associated with the Company under Section 708(12) of the Corporations Act; or</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w:t>
      </w:r>
    </w:p>
    <w:p>
      <w:pPr>
        <w:spacing w:after="0" w:line="156" w:lineRule="exact"/>
        <w:rPr>
          <w:sz w:val="20"/>
          <w:szCs w:val="20"/>
          <w:color w:val="auto"/>
        </w:rPr>
      </w:pPr>
    </w:p>
    <w:p>
      <w:pPr>
        <w:ind w:left="1260" w:right="1099"/>
        <w:spacing w:after="0" w:line="254"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35" w:lineRule="exact"/>
        <w:rPr>
          <w:sz w:val="20"/>
          <w:szCs w:val="20"/>
          <w:color w:val="auto"/>
        </w:rPr>
      </w:pPr>
    </w:p>
    <w:p>
      <w:pPr>
        <w:ind w:left="1260" w:right="699"/>
        <w:spacing w:after="0" w:line="252" w:lineRule="auto"/>
        <w:rPr>
          <w:sz w:val="20"/>
          <w:szCs w:val="20"/>
          <w:color w:val="auto"/>
        </w:rPr>
      </w:pPr>
      <w:r>
        <w:rPr>
          <w:rFonts w:ascii="Arial" w:cs="Arial" w:eastAsia="Arial" w:hAnsi="Arial"/>
          <w:sz w:val="17"/>
          <w:szCs w:val="17"/>
          <w:color w:val="auto"/>
        </w:rPr>
        <w:t>You warrant and agree that you will not offer any of the shares of our common stock issued to you pursuant to this prospectus for resale in Australia within 12 months of those shares of our common stock being issued unless any such resale offer is exempt from the requirement to issue a disclosure document under section 708 of the Corporations Act.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Notice to Prospective Investors in Hong Kong</w:t>
      </w:r>
    </w:p>
    <w:p>
      <w:pPr>
        <w:spacing w:after="0" w:line="54" w:lineRule="exact"/>
        <w:rPr>
          <w:sz w:val="20"/>
          <w:szCs w:val="20"/>
          <w:color w:val="auto"/>
        </w:rPr>
      </w:pPr>
    </w:p>
    <w:p>
      <w:pPr>
        <w:ind w:left="1260" w:right="699"/>
        <w:spacing w:after="0" w:line="249" w:lineRule="auto"/>
        <w:rPr>
          <w:sz w:val="20"/>
          <w:szCs w:val="20"/>
          <w:color w:val="auto"/>
        </w:rPr>
      </w:pPr>
      <w:r>
        <w:rPr>
          <w:rFonts w:ascii="Arial" w:cs="Arial" w:eastAsia="Arial" w:hAnsi="Arial"/>
          <w:sz w:val="17"/>
          <w:szCs w:val="17"/>
          <w:color w:val="auto"/>
        </w:rPr>
        <w:t>No shares of our common stock have been offered or sold, and no shares of our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to the public within the meaning of the Companies Ordinance (Cap. 32) or the Securities and Futures Ordinance (Cap. 571) of Hong Kong. No document, invitation or advertisement relating to the shares of our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our common stock which are or are intended to be disposed of only to persons outside Hong Kong or only to “professional investors” as defined in the Securities and Futures Ordinance (Cap. 571) of Hong Kong and any rules made under that Ordinance.</w:t>
      </w:r>
    </w:p>
    <w:p>
      <w:pPr>
        <w:spacing w:after="0" w:line="144" w:lineRule="exact"/>
        <w:rPr>
          <w:sz w:val="20"/>
          <w:szCs w:val="20"/>
          <w:color w:val="auto"/>
        </w:rPr>
      </w:pPr>
    </w:p>
    <w:p>
      <w:pPr>
        <w:ind w:left="1260" w:right="719"/>
        <w:spacing w:after="0" w:line="250"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shares of our common stock may not be offered for subscription to members of the public in Hong Kong. Each person acquiring the shares of our common stock will be required, and is deemed by the acquisition of the shares of our common stock, to confirm that he is aware of the restriction on offers of the shares of our common stock described in this prospectus and the relevant offering documents and that he is not acquiring, and has not been offered, any shares of our common stock in circumstances that contravene any such restrictions.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Notice to Prospective Investors in Japan</w:t>
      </w:r>
    </w:p>
    <w:p>
      <w:pPr>
        <w:spacing w:after="0" w:line="81" w:lineRule="exact"/>
        <w:rPr>
          <w:sz w:val="20"/>
          <w:szCs w:val="20"/>
          <w:color w:val="auto"/>
        </w:rPr>
      </w:pPr>
    </w:p>
    <w:p>
      <w:pPr>
        <w:ind w:left="1260" w:right="799"/>
        <w:spacing w:after="0" w:line="268"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shares of our common stock, directly or indirectly, in Japan or to, or for the benefit of, any resident of Japan (which</w:t>
      </w:r>
    </w:p>
    <w:p>
      <w:pPr>
        <w:spacing w:after="0" w:line="200" w:lineRule="exact"/>
        <w:rPr>
          <w:sz w:val="20"/>
          <w:szCs w:val="20"/>
          <w:color w:val="auto"/>
        </w:rPr>
      </w:pPr>
    </w:p>
    <w:p>
      <w:pPr>
        <w:spacing w:after="0" w:line="21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719"/>
        <w:spacing w:after="0" w:line="251" w:lineRule="auto"/>
        <w:rPr>
          <w:sz w:val="20"/>
          <w:szCs w:val="20"/>
          <w:color w:val="auto"/>
        </w:rPr>
      </w:pPr>
      <w:r>
        <w:rPr>
          <w:rFonts w:ascii="Arial" w:cs="Arial" w:eastAsia="Arial" w:hAnsi="Arial"/>
          <w:sz w:val="17"/>
          <w:szCs w:val="17"/>
          <w:color w:val="auto"/>
        </w:rPr>
        <w:t>term as used herein means, unless otherwise provided herein, any person resident in Japan, including any corporation or other entity organized under the laws of Japan), or to others for re-offering or resale, directly or indirectly, in Japan or to or for the benefit of a resident of Japan, except pursuant to an exemption from S-30 the registration requirements of, and otherwise in compliance with, the FIEL and any other applicable laws, regulations and ministerial guidelines of Japan.</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Notice to Prospective Investors in Singapore</w:t>
      </w:r>
    </w:p>
    <w:p>
      <w:pPr>
        <w:spacing w:after="0" w:line="81" w:lineRule="exact"/>
        <w:rPr>
          <w:sz w:val="20"/>
          <w:szCs w:val="20"/>
          <w:color w:val="auto"/>
        </w:rPr>
      </w:pPr>
    </w:p>
    <w:p>
      <w:pPr>
        <w:ind w:left="1260" w:right="739"/>
        <w:spacing w:after="0" w:line="265"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the invitation for subscription or purchase, of the shares of our common stock may not be issued, circulated or 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of the SFA, or any person pursuant to Section 275(1A) of the SFA and in accordance with the conditions specified in Section 275 of the SFA or</w:t>
      </w:r>
    </w:p>
    <w:p>
      <w:pPr>
        <w:spacing w:after="0" w:line="1" w:lineRule="exact"/>
        <w:rPr>
          <w:sz w:val="20"/>
          <w:szCs w:val="20"/>
          <w:color w:val="auto"/>
        </w:rPr>
      </w:pPr>
    </w:p>
    <w:p>
      <w:pPr>
        <w:ind w:left="1260" w:right="999" w:firstLine="2"/>
        <w:spacing w:after="0" w:line="276" w:lineRule="auto"/>
        <w:tabs>
          <w:tab w:leader="none" w:pos="15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otherwise pursuant to, and in accordance with the conditions of, any other applicable provision of the SFA.</w:t>
      </w:r>
    </w:p>
    <w:p>
      <w:pPr>
        <w:spacing w:after="0" w:line="131" w:lineRule="exact"/>
        <w:rPr>
          <w:sz w:val="20"/>
          <w:szCs w:val="20"/>
          <w:color w:val="auto"/>
        </w:rPr>
      </w:pPr>
    </w:p>
    <w:p>
      <w:pPr>
        <w:ind w:left="1260" w:right="1039"/>
        <w:spacing w:after="0" w:line="276" w:lineRule="auto"/>
        <w:rPr>
          <w:sz w:val="20"/>
          <w:szCs w:val="20"/>
          <w:color w:val="auto"/>
        </w:rPr>
      </w:pPr>
      <w:r>
        <w:rPr>
          <w:rFonts w:ascii="Arial" w:cs="Arial" w:eastAsia="Arial" w:hAnsi="Arial"/>
          <w:sz w:val="17"/>
          <w:szCs w:val="17"/>
          <w:color w:val="auto"/>
        </w:rPr>
        <w:t>Where the shares of our common stock are subscribed or purchased under Section 275 of the SFA by a relevant person which is:</w:t>
      </w:r>
    </w:p>
    <w:p>
      <w:pPr>
        <w:spacing w:after="0" w:line="50" w:lineRule="exact"/>
        <w:rPr>
          <w:sz w:val="20"/>
          <w:szCs w:val="20"/>
          <w:color w:val="auto"/>
        </w:rPr>
      </w:pPr>
    </w:p>
    <w:p>
      <w:pPr>
        <w:jc w:val="both"/>
        <w:ind w:left="1840" w:right="999" w:hanging="218"/>
        <w:spacing w:after="0" w:line="270" w:lineRule="auto"/>
        <w:tabs>
          <w:tab w:leader="none" w:pos="18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5" w:lineRule="exact"/>
        <w:rPr>
          <w:rFonts w:ascii="Arial" w:cs="Arial" w:eastAsia="Arial" w:hAnsi="Arial"/>
          <w:sz w:val="17"/>
          <w:szCs w:val="17"/>
          <w:color w:val="auto"/>
        </w:rPr>
      </w:pPr>
    </w:p>
    <w:p>
      <w:pPr>
        <w:ind w:left="1840" w:right="919" w:hanging="218"/>
        <w:spacing w:after="0" w:line="276" w:lineRule="auto"/>
        <w:tabs>
          <w:tab w:leader="none" w:pos="18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31" w:lineRule="exact"/>
        <w:rPr>
          <w:sz w:val="20"/>
          <w:szCs w:val="20"/>
          <w:color w:val="auto"/>
        </w:rPr>
      </w:pPr>
    </w:p>
    <w:p>
      <w:pPr>
        <w:ind w:left="1260" w:right="679"/>
        <w:spacing w:after="0" w:line="268"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58" w:lineRule="exact"/>
        <w:rPr>
          <w:sz w:val="20"/>
          <w:szCs w:val="20"/>
          <w:color w:val="auto"/>
        </w:rPr>
      </w:pPr>
    </w:p>
    <w:p>
      <w:pPr>
        <w:ind w:left="1840" w:right="1059" w:hanging="218"/>
        <w:spacing w:after="0" w:line="276" w:lineRule="auto"/>
        <w:tabs>
          <w:tab w:leader="none" w:pos="18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63" w:lineRule="exact"/>
        <w:rPr>
          <w:rFonts w:ascii="Arial" w:cs="Arial" w:eastAsia="Arial" w:hAnsi="Arial"/>
          <w:sz w:val="17"/>
          <w:szCs w:val="17"/>
          <w:color w:val="auto"/>
        </w:rPr>
      </w:pPr>
    </w:p>
    <w:p>
      <w:pPr>
        <w:ind w:left="1840" w:hanging="218"/>
        <w:spacing w:after="0"/>
        <w:tabs>
          <w:tab w:leader="none" w:pos="18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101" w:lineRule="exact"/>
        <w:rPr>
          <w:rFonts w:ascii="Arial" w:cs="Arial" w:eastAsia="Arial" w:hAnsi="Arial"/>
          <w:sz w:val="17"/>
          <w:szCs w:val="17"/>
          <w:color w:val="auto"/>
        </w:rPr>
      </w:pPr>
    </w:p>
    <w:p>
      <w:pPr>
        <w:ind w:left="1840" w:right="1119" w:hanging="218"/>
        <w:spacing w:after="0" w:line="276" w:lineRule="auto"/>
        <w:tabs>
          <w:tab w:leader="none" w:pos="18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Notice to Prospective Investors in Switzerland</w:t>
      </w:r>
    </w:p>
    <w:p>
      <w:pPr>
        <w:spacing w:after="0" w:line="68" w:lineRule="exact"/>
        <w:rPr>
          <w:sz w:val="20"/>
          <w:szCs w:val="20"/>
          <w:color w:val="auto"/>
        </w:rPr>
      </w:pPr>
    </w:p>
    <w:p>
      <w:pPr>
        <w:ind w:left="1260" w:right="759"/>
        <w:spacing w:after="0" w:line="266" w:lineRule="auto"/>
        <w:rPr>
          <w:sz w:val="20"/>
          <w:szCs w:val="20"/>
          <w:color w:val="auto"/>
        </w:rPr>
      </w:pPr>
      <w:r>
        <w:rPr>
          <w:rFonts w:ascii="Arial" w:cs="Arial" w:eastAsia="Arial" w:hAnsi="Arial"/>
          <w:sz w:val="17"/>
          <w:szCs w:val="17"/>
          <w:color w:val="auto"/>
        </w:rPr>
        <w:t>The shares of our common stock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of our common stock or the offering may be publicly distributed or otherwise made publicly available in Switzerland.</w:t>
      </w:r>
    </w:p>
    <w:p>
      <w:pPr>
        <w:spacing w:after="0" w:line="143" w:lineRule="exact"/>
        <w:rPr>
          <w:sz w:val="20"/>
          <w:szCs w:val="20"/>
          <w:color w:val="auto"/>
        </w:rPr>
      </w:pPr>
    </w:p>
    <w:p>
      <w:pPr>
        <w:ind w:left="1260" w:right="719"/>
        <w:spacing w:after="0" w:line="267"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shares of our common stock have been or will be filed with or approved by any Swiss regulatory authority. In particular, this document will not be filed with and the offer of shares of our common stock will not be supervised by, the Swiss Financial Market Supervisory Authority FINMA (FINMA) and the offer of shares of our common stock has not been and will not be authorized under the Swiss Federal Act on Collective Investment Schemes, or CISA. The investor protection afforded to acquirers of interests in collective investment schemes under the CISA does not extend to acquirers of shares of our common stock.</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Notice to Prospective Investors in Canada</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(A) Resale Restrictions</w:t>
      </w:r>
    </w:p>
    <w:p>
      <w:pPr>
        <w:spacing w:after="0" w:line="106" w:lineRule="exact"/>
        <w:rPr>
          <w:sz w:val="20"/>
          <w:szCs w:val="20"/>
          <w:color w:val="auto"/>
        </w:rPr>
      </w:pPr>
    </w:p>
    <w:p>
      <w:pPr>
        <w:ind w:left="1260" w:right="679"/>
        <w:spacing w:after="0" w:line="266" w:lineRule="auto"/>
        <w:rPr>
          <w:sz w:val="20"/>
          <w:szCs w:val="20"/>
          <w:color w:val="auto"/>
        </w:rPr>
      </w:pPr>
      <w:r>
        <w:rPr>
          <w:rFonts w:ascii="Arial" w:cs="Arial" w:eastAsia="Arial" w:hAnsi="Arial"/>
          <w:sz w:val="17"/>
          <w:szCs w:val="17"/>
          <w:color w:val="auto"/>
        </w:rPr>
        <w:t>The distribution of shares of our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shares of our common stock are made. Any resale of the shares of our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 of our common stock.</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(B) Representations of Canadian Purchasers</w:t>
      </w:r>
    </w:p>
    <w:p>
      <w:pPr>
        <w:spacing w:after="0" w:line="120" w:lineRule="exact"/>
        <w:rPr>
          <w:sz w:val="20"/>
          <w:szCs w:val="20"/>
          <w:color w:val="auto"/>
        </w:rPr>
      </w:pPr>
    </w:p>
    <w:p>
      <w:pPr>
        <w:ind w:left="1260" w:right="779"/>
        <w:spacing w:after="0" w:line="276" w:lineRule="auto"/>
        <w:rPr>
          <w:sz w:val="20"/>
          <w:szCs w:val="20"/>
          <w:color w:val="auto"/>
        </w:rPr>
      </w:pPr>
      <w:r>
        <w:rPr>
          <w:rFonts w:ascii="Arial" w:cs="Arial" w:eastAsia="Arial" w:hAnsi="Arial"/>
          <w:sz w:val="17"/>
          <w:szCs w:val="17"/>
          <w:color w:val="auto"/>
        </w:rPr>
        <w:t>By purchasing shares of our common stock in Canada and accepting delivery of a purchase confirmation, a purchaser is representing to us and the dealer from whom the purchase confirmation is received that:</w:t>
      </w:r>
    </w:p>
    <w:p>
      <w:pPr>
        <w:spacing w:after="0" w:line="50" w:lineRule="exact"/>
        <w:rPr>
          <w:sz w:val="20"/>
          <w:szCs w:val="20"/>
          <w:color w:val="auto"/>
        </w:rPr>
      </w:pPr>
    </w:p>
    <w:p>
      <w:pPr>
        <w:jc w:val="both"/>
        <w:ind w:left="1840" w:right="979" w:hanging="218"/>
        <w:spacing w:after="0" w:line="270" w:lineRule="auto"/>
        <w:tabs>
          <w:tab w:leader="none" w:pos="18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shares of our common stock without the benefit of a prospectus qualified under those securities laws as it is an “accredited investor” as defined under National Instrument 45-106 — Prospectus Exemptions,</w:t>
      </w:r>
    </w:p>
    <w:p>
      <w:pPr>
        <w:spacing w:after="0" w:line="55" w:lineRule="exact"/>
        <w:rPr>
          <w:rFonts w:ascii="Arial" w:cs="Arial" w:eastAsia="Arial" w:hAnsi="Arial"/>
          <w:sz w:val="17"/>
          <w:szCs w:val="17"/>
          <w:color w:val="auto"/>
        </w:rPr>
      </w:pPr>
    </w:p>
    <w:p>
      <w:pPr>
        <w:ind w:left="1840" w:right="1339" w:hanging="218"/>
        <w:spacing w:after="0" w:line="276" w:lineRule="auto"/>
        <w:tabs>
          <w:tab w:leader="none" w:pos="18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purchaser is a “permitted client” as defined in National Instrument 31-103 — Registration Requirements, Exemptions and Ongoing Registrant Obligations,</w:t>
      </w:r>
    </w:p>
    <w:p>
      <w:pPr>
        <w:spacing w:after="0" w:line="63" w:lineRule="exact"/>
        <w:rPr>
          <w:rFonts w:ascii="Arial" w:cs="Arial" w:eastAsia="Arial" w:hAnsi="Arial"/>
          <w:sz w:val="17"/>
          <w:szCs w:val="17"/>
          <w:color w:val="auto"/>
        </w:rPr>
      </w:pPr>
    </w:p>
    <w:p>
      <w:pPr>
        <w:ind w:left="1840" w:hanging="218"/>
        <w:spacing w:after="0"/>
        <w:tabs>
          <w:tab w:leader="none" w:pos="18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where required by law, the purchaser is purchasing as principal and not as agent, and</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purchaser has reviewed the text above under Resale Restrictions.</w:t>
      </w:r>
    </w:p>
    <w:p>
      <w:pPr>
        <w:spacing w:after="0" w:line="205" w:lineRule="exact"/>
        <w:rPr>
          <w:rFonts w:ascii="Arial" w:cs="Arial" w:eastAsia="Arial" w:hAnsi="Arial"/>
          <w:sz w:val="17"/>
          <w:szCs w:val="17"/>
          <w:color w:val="auto"/>
        </w:rPr>
      </w:pPr>
    </w:p>
    <w:p>
      <w:pPr>
        <w:ind w:left="1540" w:hanging="278"/>
        <w:spacing w:after="0"/>
        <w:tabs>
          <w:tab w:leader="none" w:pos="1540" w:val="left"/>
        </w:tabs>
        <w:numPr>
          <w:ilvl w:val="0"/>
          <w:numId w:val="39"/>
        </w:numPr>
        <w:rPr>
          <w:rFonts w:ascii="Arial" w:cs="Arial" w:eastAsia="Arial" w:hAnsi="Arial"/>
          <w:sz w:val="17"/>
          <w:szCs w:val="17"/>
          <w:i w:val="1"/>
          <w:iCs w:val="1"/>
          <w:color w:val="auto"/>
        </w:rPr>
      </w:pPr>
      <w:r>
        <w:rPr>
          <w:rFonts w:ascii="Arial" w:cs="Arial" w:eastAsia="Arial" w:hAnsi="Arial"/>
          <w:sz w:val="17"/>
          <w:szCs w:val="17"/>
          <w:i w:val="1"/>
          <w:iCs w:val="1"/>
          <w:color w:val="auto"/>
        </w:rPr>
        <w:t>Conflicts of Interest</w:t>
      </w:r>
    </w:p>
    <w:p>
      <w:pPr>
        <w:spacing w:after="0" w:line="106" w:lineRule="exact"/>
        <w:rPr>
          <w:sz w:val="20"/>
          <w:szCs w:val="20"/>
          <w:color w:val="auto"/>
        </w:rPr>
      </w:pPr>
    </w:p>
    <w:p>
      <w:pPr>
        <w:jc w:val="both"/>
        <w:ind w:left="1260" w:right="779"/>
        <w:spacing w:after="0" w:line="270" w:lineRule="auto"/>
        <w:rPr>
          <w:sz w:val="20"/>
          <w:szCs w:val="20"/>
          <w:color w:val="auto"/>
        </w:rPr>
      </w:pPr>
      <w:r>
        <w:rPr>
          <w:rFonts w:ascii="Arial" w:cs="Arial" w:eastAsia="Arial" w:hAnsi="Arial"/>
          <w:sz w:val="17"/>
          <w:szCs w:val="17"/>
          <w:color w:val="auto"/>
        </w:rPr>
        <w:t>Canadian purchasers are hereby notified that each of the underwriters are relying on the exemption set out in section 3A.3 or 3A.4, if applicable, of National Instrument 33-105 — Underwriting Conflicts from having to provide certain conflict of interest disclosure in this document.</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(D) Statutory Rights of Action</w:t>
      </w:r>
    </w:p>
    <w:p>
      <w:pPr>
        <w:spacing w:after="0" w:line="120" w:lineRule="exact"/>
        <w:rPr>
          <w:sz w:val="20"/>
          <w:szCs w:val="20"/>
          <w:color w:val="auto"/>
        </w:rPr>
      </w:pPr>
    </w:p>
    <w:p>
      <w:pPr>
        <w:ind w:left="1260" w:right="719"/>
        <w:spacing w:after="0" w:line="267"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(E) Enforcement of Legal Rights</w:t>
      </w:r>
    </w:p>
    <w:p>
      <w:pPr>
        <w:spacing w:after="0" w:line="106" w:lineRule="exact"/>
        <w:rPr>
          <w:sz w:val="20"/>
          <w:szCs w:val="20"/>
          <w:color w:val="auto"/>
        </w:rPr>
      </w:pPr>
    </w:p>
    <w:p>
      <w:pPr>
        <w:ind w:left="1260" w:right="779"/>
        <w:spacing w:after="0" w:line="267"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(F) Taxation and Eligibility for Investment</w:t>
      </w:r>
    </w:p>
    <w:p>
      <w:pPr>
        <w:spacing w:after="0" w:line="106" w:lineRule="exact"/>
        <w:rPr>
          <w:sz w:val="20"/>
          <w:szCs w:val="20"/>
          <w:color w:val="auto"/>
        </w:rPr>
      </w:pPr>
    </w:p>
    <w:p>
      <w:pPr>
        <w:ind w:left="1260" w:right="899"/>
        <w:spacing w:after="0" w:line="268" w:lineRule="auto"/>
        <w:rPr>
          <w:sz w:val="20"/>
          <w:szCs w:val="20"/>
          <w:color w:val="auto"/>
        </w:rPr>
      </w:pPr>
      <w:r>
        <w:rPr>
          <w:rFonts w:ascii="Arial" w:cs="Arial" w:eastAsia="Arial" w:hAnsi="Arial"/>
          <w:sz w:val="17"/>
          <w:szCs w:val="17"/>
          <w:color w:val="auto"/>
        </w:rPr>
        <w:t>Canadian purchasers of shares of our common stock should consult their own legal and tax advisors with respect to the tax consequences of an investment in the shares of our common stock in their particular circumstances and about the eligibility of the shares of our common stock for investment by the purchaser under relevant Canadian legislation.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LEGAL MATTERS</w:t>
      </w:r>
    </w:p>
    <w:p>
      <w:pPr>
        <w:spacing w:after="0" w:line="350" w:lineRule="exact"/>
        <w:rPr>
          <w:sz w:val="20"/>
          <w:szCs w:val="20"/>
          <w:color w:val="auto"/>
        </w:rPr>
      </w:pPr>
    </w:p>
    <w:p>
      <w:pPr>
        <w:ind w:left="1260" w:right="839"/>
        <w:spacing w:after="0" w:line="254"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Pepper Hamilton LLP, Philadelphia, Pennsylvania. Certain legal matters in connection with this offering will be passed upon for the underwriters by Latham &amp; Watkins LLP, New York, New York.</w:t>
      </w:r>
    </w:p>
    <w:p>
      <w:pPr>
        <w:spacing w:after="0" w:line="18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EXPERTS</w:t>
      </w:r>
    </w:p>
    <w:p>
      <w:pPr>
        <w:spacing w:after="0" w:line="350" w:lineRule="exact"/>
        <w:rPr>
          <w:sz w:val="20"/>
          <w:szCs w:val="20"/>
          <w:color w:val="auto"/>
        </w:rPr>
      </w:pPr>
    </w:p>
    <w:p>
      <w:pPr>
        <w:ind w:left="1260" w:right="959"/>
        <w:spacing w:after="0" w:line="252" w:lineRule="auto"/>
        <w:rPr>
          <w:sz w:val="20"/>
          <w:szCs w:val="20"/>
          <w:color w:val="auto"/>
        </w:rPr>
      </w:pPr>
      <w:r>
        <w:rPr>
          <w:rFonts w:ascii="Arial" w:cs="Arial" w:eastAsia="Arial" w:hAnsi="Arial"/>
          <w:sz w:val="17"/>
          <w:szCs w:val="17"/>
          <w:color w:val="auto"/>
        </w:rPr>
        <w:t>The consolidated financial statements of TELA Bio, Inc. as of December 31, 2019 and 2018, and for the years then ended, have been incorporated by reference herein and in the registration statement in reliance upon the report of KPMG LLP, an independent registered public accounting firm, incorporated by reference herein, and upon the authority of said firm as experts in accounting and auditing.</w:t>
      </w:r>
    </w:p>
    <w:p>
      <w:pPr>
        <w:spacing w:after="0" w:line="18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WHERE YOU CAN FIND MORE INFORMATION</w:t>
      </w:r>
    </w:p>
    <w:p>
      <w:pPr>
        <w:spacing w:after="0" w:line="350" w:lineRule="exact"/>
        <w:rPr>
          <w:sz w:val="20"/>
          <w:szCs w:val="20"/>
          <w:color w:val="auto"/>
        </w:rPr>
      </w:pPr>
    </w:p>
    <w:p>
      <w:pPr>
        <w:ind w:left="1260" w:right="679"/>
        <w:spacing w:after="0" w:line="249"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www.sec.gov.</w:t>
      </w:r>
    </w:p>
    <w:p>
      <w:pPr>
        <w:spacing w:after="0" w:line="145" w:lineRule="exact"/>
        <w:rPr>
          <w:sz w:val="20"/>
          <w:szCs w:val="20"/>
          <w:color w:val="auto"/>
        </w:rPr>
      </w:pPr>
    </w:p>
    <w:p>
      <w:pPr>
        <w:ind w:left="1260" w:right="739"/>
        <w:spacing w:after="0" w:line="250" w:lineRule="auto"/>
        <w:rPr>
          <w:sz w:val="20"/>
          <w:szCs w:val="20"/>
          <w:color w:val="auto"/>
        </w:rPr>
      </w:pPr>
      <w:r>
        <w:rPr>
          <w:rFonts w:ascii="Arial" w:cs="Arial" w:eastAsia="Arial" w:hAnsi="Arial"/>
          <w:sz w:val="17"/>
          <w:szCs w:val="17"/>
          <w:color w:val="auto"/>
        </w:rPr>
        <w:t>We are subject to the information reporting requirements of the Exchange Act and we will file reports, proxy statements and other information with the SEC. These reports, proxy statements and other information will be available for inspection at the web site of the SEC referred to above. We also maintain a website at www.telabio.com,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(other than those filings with the SEC that we specifically incorporate by reference into this prospectus), and the inclusion of our website address in this prospectus is an inactive textual reference only.</w:t>
      </w:r>
    </w:p>
    <w:p>
      <w:pPr>
        <w:spacing w:after="0" w:line="190"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350" w:lineRule="exact"/>
        <w:rPr>
          <w:sz w:val="20"/>
          <w:szCs w:val="20"/>
          <w:color w:val="auto"/>
        </w:rPr>
      </w:pPr>
    </w:p>
    <w:p>
      <w:pPr>
        <w:ind w:left="1260" w:right="739"/>
        <w:spacing w:after="0" w:line="248" w:lineRule="auto"/>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and the registration statement of which this prospectus is a part the information or documents listed below that we have filed with the SEC (File No.</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001-39130):</w:t>
      </w:r>
    </w:p>
    <w:p>
      <w:pPr>
        <w:spacing w:after="0" w:line="88" w:lineRule="exact"/>
        <w:rPr>
          <w:sz w:val="20"/>
          <w:szCs w:val="20"/>
          <w:color w:val="auto"/>
        </w:rPr>
      </w:pPr>
    </w:p>
    <w:p>
      <w:pPr>
        <w:ind w:left="1840" w:right="719" w:hanging="218"/>
        <w:spacing w:after="0" w:line="276" w:lineRule="auto"/>
        <w:tabs>
          <w:tab w:leader="none" w:pos="1840" w:val="left"/>
        </w:tabs>
        <w:numPr>
          <w:ilvl w:val="0"/>
          <w:numId w:val="40"/>
        </w:numPr>
        <w:rPr>
          <w:rFonts w:ascii="Arial" w:cs="Arial" w:eastAsia="Arial" w:hAnsi="Arial"/>
          <w:sz w:val="17"/>
          <w:szCs w:val="17"/>
          <w:color w:val="0000EE"/>
        </w:rPr>
      </w:pPr>
      <w:hyperlink r:id="rId111">
        <w:r>
          <w:rPr>
            <w:rFonts w:ascii="Arial" w:cs="Arial" w:eastAsia="Arial" w:hAnsi="Arial"/>
            <w:sz w:val="17"/>
            <w:szCs w:val="17"/>
            <w:u w:val="single" w:color="auto"/>
            <w:color w:val="0000EE"/>
          </w:rPr>
          <w:t>our Annual Report on Form 10-K for the fiscal year ended December 31, 2019, filed with the SEC on</w:t>
        </w:r>
      </w:hyperlink>
      <w:r>
        <w:rPr>
          <w:rFonts w:ascii="Arial" w:cs="Arial" w:eastAsia="Arial" w:hAnsi="Arial"/>
          <w:sz w:val="17"/>
          <w:szCs w:val="17"/>
          <w:u w:val="single" w:color="auto"/>
          <w:color w:val="0000EE"/>
        </w:rPr>
        <w:t xml:space="preserve"> </w:t>
      </w:r>
      <w:hyperlink r:id="rId111">
        <w:r>
          <w:rPr>
            <w:rFonts w:ascii="Arial" w:cs="Arial" w:eastAsia="Arial" w:hAnsi="Arial"/>
            <w:sz w:val="17"/>
            <w:szCs w:val="17"/>
            <w:u w:val="single" w:color="auto"/>
            <w:color w:val="0000EE"/>
          </w:rPr>
          <w:t>March 30, 2020</w:t>
        </w:r>
        <w:r>
          <w:rPr>
            <w:rFonts w:ascii="Arial" w:cs="Arial" w:eastAsia="Arial" w:hAnsi="Arial"/>
            <w:sz w:val="17"/>
            <w:szCs w:val="17"/>
            <w:color w:val="000000"/>
          </w:rPr>
          <w:t>;</w:t>
        </w:r>
      </w:hyperlink>
    </w:p>
    <w:p>
      <w:pPr>
        <w:spacing w:after="0" w:line="49" w:lineRule="exact"/>
        <w:rPr>
          <w:rFonts w:ascii="Arial" w:cs="Arial" w:eastAsia="Arial" w:hAnsi="Arial"/>
          <w:sz w:val="17"/>
          <w:szCs w:val="17"/>
          <w:color w:val="0000EE"/>
        </w:rPr>
      </w:pPr>
    </w:p>
    <w:p>
      <w:pPr>
        <w:ind w:left="1840" w:right="759" w:hanging="218"/>
        <w:spacing w:after="0" w:line="268" w:lineRule="auto"/>
        <w:tabs>
          <w:tab w:leader="none" w:pos="1840" w:val="left"/>
        </w:tabs>
        <w:numPr>
          <w:ilvl w:val="0"/>
          <w:numId w:val="40"/>
        </w:numPr>
        <w:rPr>
          <w:rFonts w:ascii="Arial" w:cs="Arial" w:eastAsia="Arial" w:hAnsi="Arial"/>
          <w:sz w:val="17"/>
          <w:szCs w:val="17"/>
          <w:color w:val="000000"/>
        </w:rPr>
      </w:pPr>
      <w:hyperlink r:id="rId112">
        <w:r>
          <w:rPr>
            <w:rFonts w:ascii="Arial" w:cs="Arial" w:eastAsia="Arial" w:hAnsi="Arial"/>
            <w:sz w:val="17"/>
            <w:szCs w:val="17"/>
            <w:color w:val="auto"/>
          </w:rPr>
          <w:t xml:space="preserve">the information specifically incorporated by reference into our </w:t>
        </w:r>
        <w:r>
          <w:rPr>
            <w:rFonts w:ascii="Arial" w:cs="Arial" w:eastAsia="Arial" w:hAnsi="Arial"/>
            <w:sz w:val="17"/>
            <w:szCs w:val="17"/>
            <w:u w:val="single" w:color="auto"/>
            <w:color w:val="0000EE"/>
          </w:rPr>
          <w:t>Annual Report on Form 10-K for the</w:t>
        </w:r>
      </w:hyperlink>
      <w:r>
        <w:rPr>
          <w:rFonts w:ascii="Arial" w:cs="Arial" w:eastAsia="Arial" w:hAnsi="Arial"/>
          <w:sz w:val="17"/>
          <w:szCs w:val="17"/>
          <w:color w:val="auto"/>
        </w:rPr>
        <w:t xml:space="preserve"> </w:t>
      </w:r>
      <w:hyperlink r:id="rId112">
        <w:r>
          <w:rPr>
            <w:rFonts w:ascii="Arial" w:cs="Arial" w:eastAsia="Arial" w:hAnsi="Arial"/>
            <w:sz w:val="17"/>
            <w:szCs w:val="17"/>
            <w:u w:val="single" w:color="auto"/>
            <w:color w:val="0000EE"/>
          </w:rPr>
          <w:t>year ended December 31, 2019</w:t>
        </w:r>
        <w:r>
          <w:rPr>
            <w:rFonts w:ascii="Arial" w:cs="Arial" w:eastAsia="Arial" w:hAnsi="Arial"/>
            <w:sz w:val="17"/>
            <w:szCs w:val="17"/>
            <w:color w:val="0000EE"/>
          </w:rPr>
          <w:t xml:space="preserve"> </w:t>
        </w:r>
        <w:r>
          <w:rPr>
            <w:rFonts w:ascii="Arial" w:cs="Arial" w:eastAsia="Arial" w:hAnsi="Arial"/>
            <w:sz w:val="17"/>
            <w:szCs w:val="17"/>
            <w:color w:val="000000"/>
          </w:rPr>
          <w:t>from our definitive proxy statement on Schedule 14A (other than</w:t>
        </w:r>
      </w:hyperlink>
      <w:r>
        <w:rPr>
          <w:rFonts w:ascii="Arial" w:cs="Arial" w:eastAsia="Arial" w:hAnsi="Arial"/>
          <w:sz w:val="17"/>
          <w:szCs w:val="17"/>
          <w:color w:val="0000EE"/>
        </w:rPr>
        <w:t xml:space="preserve"> </w:t>
      </w:r>
      <w:r>
        <w:rPr>
          <w:rFonts w:ascii="Arial" w:cs="Arial" w:eastAsia="Arial" w:hAnsi="Arial"/>
          <w:sz w:val="17"/>
          <w:szCs w:val="17"/>
          <w:color w:val="000000"/>
        </w:rPr>
        <w:t xml:space="preserve">information furnished rather than filed), which was filed with the SEC on </w:t>
      </w:r>
      <w:hyperlink r:id="rId113">
        <w:r>
          <w:rPr>
            <w:rFonts w:ascii="Arial" w:cs="Arial" w:eastAsia="Arial" w:hAnsi="Arial"/>
            <w:sz w:val="17"/>
            <w:szCs w:val="17"/>
            <w:u w:val="single" w:color="auto"/>
            <w:color w:val="0000EE"/>
          </w:rPr>
          <w:t>April 23, 2020</w:t>
        </w:r>
      </w:hyperlink>
      <w:r>
        <w:rPr>
          <w:rFonts w:ascii="Arial" w:cs="Arial" w:eastAsia="Arial" w:hAnsi="Arial"/>
          <w:sz w:val="17"/>
          <w:szCs w:val="17"/>
          <w:color w:val="000000"/>
        </w:rPr>
        <w:t xml:space="preserve">, as amended by Amendment No. 1 to our definitive proxy statement on Schedule 14A, which was filed with the SEC on </w:t>
      </w:r>
      <w:hyperlink r:id="rId114">
        <w:r>
          <w:rPr>
            <w:rFonts w:ascii="Arial" w:cs="Arial" w:eastAsia="Arial" w:hAnsi="Arial"/>
            <w:sz w:val="17"/>
            <w:szCs w:val="17"/>
            <w:u w:val="single" w:color="auto"/>
            <w:color w:val="0000EE"/>
          </w:rPr>
          <w:t>May 1, 2020</w:t>
        </w:r>
      </w:hyperlink>
      <w:r>
        <w:rPr>
          <w:rFonts w:ascii="Arial" w:cs="Arial" w:eastAsia="Arial" w:hAnsi="Arial"/>
          <w:sz w:val="17"/>
          <w:szCs w:val="17"/>
          <w:color w:val="000000"/>
        </w:rPr>
        <w:t>;</w:t>
      </w:r>
    </w:p>
    <w:p>
      <w:pPr>
        <w:spacing w:after="0" w:line="56" w:lineRule="exact"/>
        <w:rPr>
          <w:rFonts w:ascii="Arial" w:cs="Arial" w:eastAsia="Arial" w:hAnsi="Arial"/>
          <w:sz w:val="17"/>
          <w:szCs w:val="17"/>
          <w:color w:val="000000"/>
        </w:rPr>
      </w:pPr>
    </w:p>
    <w:p>
      <w:pPr>
        <w:ind w:left="1840" w:right="1079" w:hanging="218"/>
        <w:spacing w:after="0" w:line="276" w:lineRule="auto"/>
        <w:tabs>
          <w:tab w:leader="none" w:pos="1840" w:val="left"/>
        </w:tabs>
        <w:numPr>
          <w:ilvl w:val="0"/>
          <w:numId w:val="40"/>
        </w:numPr>
        <w:rPr>
          <w:rFonts w:ascii="Arial" w:cs="Arial" w:eastAsia="Arial" w:hAnsi="Arial"/>
          <w:sz w:val="17"/>
          <w:szCs w:val="17"/>
          <w:color w:val="0000EE"/>
        </w:rPr>
      </w:pPr>
      <w:hyperlink r:id="rId115">
        <w:r>
          <w:rPr>
            <w:rFonts w:ascii="Arial" w:cs="Arial" w:eastAsia="Arial" w:hAnsi="Arial"/>
            <w:sz w:val="17"/>
            <w:szCs w:val="17"/>
            <w:u w:val="single" w:color="auto"/>
            <w:color w:val="0000EE"/>
          </w:rPr>
          <w:t>our Quarterly Report on Form 10-Q for the quarter ended March 31, 2020, filed with the SEC on</w:t>
        </w:r>
      </w:hyperlink>
      <w:r>
        <w:rPr>
          <w:rFonts w:ascii="Arial" w:cs="Arial" w:eastAsia="Arial" w:hAnsi="Arial"/>
          <w:sz w:val="17"/>
          <w:szCs w:val="17"/>
          <w:u w:val="single" w:color="auto"/>
          <w:color w:val="0000EE"/>
        </w:rPr>
        <w:t xml:space="preserve"> </w:t>
      </w:r>
      <w:hyperlink r:id="rId115">
        <w:r>
          <w:rPr>
            <w:rFonts w:ascii="Arial" w:cs="Arial" w:eastAsia="Arial" w:hAnsi="Arial"/>
            <w:sz w:val="17"/>
            <w:szCs w:val="17"/>
            <w:u w:val="single" w:color="auto"/>
            <w:color w:val="0000EE"/>
          </w:rPr>
          <w:t>May 15, 2020</w:t>
        </w:r>
        <w:r>
          <w:rPr>
            <w:rFonts w:ascii="Arial" w:cs="Arial" w:eastAsia="Arial" w:hAnsi="Arial"/>
            <w:sz w:val="17"/>
            <w:szCs w:val="17"/>
            <w:color w:val="000000"/>
          </w:rPr>
          <w:t>;</w:t>
        </w:r>
      </w:hyperlink>
    </w:p>
    <w:p>
      <w:pPr>
        <w:spacing w:after="0" w:line="49" w:lineRule="exact"/>
        <w:rPr>
          <w:rFonts w:ascii="Arial" w:cs="Arial" w:eastAsia="Arial" w:hAnsi="Arial"/>
          <w:sz w:val="17"/>
          <w:szCs w:val="17"/>
          <w:color w:val="0000EE"/>
        </w:rPr>
      </w:pPr>
    </w:p>
    <w:p>
      <w:pPr>
        <w:ind w:left="1840" w:right="979" w:hanging="218"/>
        <w:spacing w:after="0" w:line="276" w:lineRule="auto"/>
        <w:tabs>
          <w:tab w:leader="none" w:pos="1840" w:val="left"/>
        </w:tabs>
        <w:numPr>
          <w:ilvl w:val="0"/>
          <w:numId w:val="40"/>
        </w:numPr>
        <w:rPr>
          <w:rFonts w:ascii="Arial" w:cs="Arial" w:eastAsia="Arial" w:hAnsi="Arial"/>
          <w:sz w:val="17"/>
          <w:szCs w:val="17"/>
          <w:color w:val="0000EE"/>
        </w:rPr>
      </w:pPr>
      <w:hyperlink r:id="rId116">
        <w:r>
          <w:rPr>
            <w:rFonts w:ascii="Arial" w:cs="Arial" w:eastAsia="Arial" w:hAnsi="Arial"/>
            <w:sz w:val="17"/>
            <w:szCs w:val="17"/>
            <w:color w:val="auto"/>
          </w:rPr>
          <w:t xml:space="preserve">our Current Reports on Form 8-K, filed with the SEC on </w:t>
        </w:r>
        <w:r>
          <w:rPr>
            <w:rFonts w:ascii="Arial" w:cs="Arial" w:eastAsia="Arial" w:hAnsi="Arial"/>
            <w:sz w:val="17"/>
            <w:szCs w:val="17"/>
            <w:u w:val="single" w:color="auto"/>
            <w:color w:val="0000EE"/>
          </w:rPr>
          <w:t>January 29, 2020</w:t>
        </w:r>
        <w:r>
          <w:rPr>
            <w:rFonts w:ascii="Arial" w:cs="Arial" w:eastAsia="Arial" w:hAnsi="Arial"/>
            <w:sz w:val="17"/>
            <w:szCs w:val="17"/>
            <w:color w:val="auto"/>
          </w:rPr>
          <w:t xml:space="preserve">, </w:t>
        </w:r>
        <w:r>
          <w:rPr>
            <w:rFonts w:ascii="Arial" w:cs="Arial" w:eastAsia="Arial" w:hAnsi="Arial"/>
            <w:sz w:val="17"/>
            <w:szCs w:val="17"/>
            <w:u w:val="single" w:color="auto"/>
            <w:color w:val="0000EE"/>
          </w:rPr>
          <w:t>April 23, 2020</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May 4,</w:t>
        </w:r>
      </w:hyperlink>
      <w:r>
        <w:rPr>
          <w:rFonts w:ascii="Arial" w:cs="Arial" w:eastAsia="Arial" w:hAnsi="Arial"/>
          <w:sz w:val="17"/>
          <w:szCs w:val="17"/>
          <w:color w:val="auto"/>
        </w:rPr>
        <w:t xml:space="preserve"> </w:t>
      </w:r>
      <w:hyperlink r:id="rId116">
        <w:r>
          <w:rPr>
            <w:rFonts w:ascii="Arial" w:cs="Arial" w:eastAsia="Arial" w:hAnsi="Arial"/>
            <w:sz w:val="17"/>
            <w:szCs w:val="17"/>
            <w:u w:val="single" w:color="auto"/>
            <w:color w:val="0000EE"/>
          </w:rPr>
          <w:t>2020</w:t>
        </w:r>
        <w:r>
          <w:rPr>
            <w:rFonts w:ascii="Arial" w:cs="Arial" w:eastAsia="Arial" w:hAnsi="Arial"/>
            <w:sz w:val="17"/>
            <w:szCs w:val="17"/>
            <w:color w:val="0000EE"/>
          </w:rPr>
          <w:t xml:space="preserve"> </w:t>
        </w:r>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117">
        <w:r>
          <w:rPr>
            <w:rFonts w:ascii="Arial" w:cs="Arial" w:eastAsia="Arial" w:hAnsi="Arial"/>
            <w:sz w:val="17"/>
            <w:szCs w:val="17"/>
            <w:u w:val="single" w:color="auto"/>
            <w:color w:val="0000EE"/>
          </w:rPr>
          <w:t>June 8, 2020</w:t>
        </w:r>
      </w:hyperlink>
      <w:hyperlink r:id="rId116">
        <w:r>
          <w:rPr>
            <w:rFonts w:ascii="Arial" w:cs="Arial" w:eastAsia="Arial" w:hAnsi="Arial"/>
            <w:sz w:val="17"/>
            <w:szCs w:val="17"/>
            <w:color w:val="000000"/>
          </w:rPr>
          <w:t>; and</w:t>
        </w:r>
      </w:hyperlink>
    </w:p>
    <w:p>
      <w:pPr>
        <w:sectPr>
          <w:pgSz w:w="11900" w:h="16838" w:orient="portrait"/>
          <w:cols w:equalWidth="0" w:num="1">
            <w:col w:w="10139"/>
          </w:cols>
          <w:pgMar w:left="320" w:top="132" w:right="1440" w:bottom="1440" w:gutter="0" w:footer="0" w:header="0"/>
        </w:sectPr>
      </w:pPr>
    </w:p>
    <w:p>
      <w:pPr>
        <w:spacing w:after="0" w:line="200" w:lineRule="exact"/>
        <w:rPr>
          <w:rFonts w:ascii="Arial" w:cs="Arial" w:eastAsia="Arial" w:hAnsi="Arial"/>
          <w:sz w:val="17"/>
          <w:szCs w:val="17"/>
          <w:color w:val="0000EE"/>
        </w:rPr>
      </w:pPr>
    </w:p>
    <w:p>
      <w:pPr>
        <w:spacing w:after="0" w:line="209" w:lineRule="exact"/>
        <w:rPr>
          <w:rFonts w:ascii="Arial" w:cs="Arial" w:eastAsia="Arial" w:hAnsi="Arial"/>
          <w:sz w:val="17"/>
          <w:szCs w:val="17"/>
          <w:color w:val="0000EE"/>
        </w:rPr>
      </w:pPr>
    </w:p>
    <w:p>
      <w:pPr>
        <w:ind w:left="5280"/>
        <w:spacing w:after="0"/>
        <w:rPr>
          <w:sz w:val="20"/>
          <w:szCs w:val="20"/>
          <w:color w:val="auto"/>
        </w:rPr>
      </w:pPr>
      <w:r>
        <w:rPr>
          <w:rFonts w:ascii="Arial" w:cs="Arial" w:eastAsia="Arial" w:hAnsi="Arial"/>
          <w:sz w:val="16"/>
          <w:szCs w:val="16"/>
          <w:color w:val="auto"/>
        </w:rPr>
        <w:t>44</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40" w:right="899" w:hanging="218"/>
        <w:spacing w:after="0" w:line="270" w:lineRule="auto"/>
        <w:tabs>
          <w:tab w:leader="none" w:pos="1840" w:val="left"/>
        </w:tabs>
        <w:numPr>
          <w:ilvl w:val="0"/>
          <w:numId w:val="41"/>
        </w:numPr>
        <w:rPr>
          <w:rFonts w:ascii="Arial" w:cs="Arial" w:eastAsia="Arial" w:hAnsi="Arial"/>
          <w:sz w:val="17"/>
          <w:szCs w:val="17"/>
          <w:color w:val="0000EE"/>
        </w:rPr>
      </w:pPr>
      <w:hyperlink r:id="rId119">
        <w:r>
          <w:rPr>
            <w:rFonts w:ascii="Arial" w:cs="Arial" w:eastAsia="Arial" w:hAnsi="Arial"/>
            <w:sz w:val="17"/>
            <w:szCs w:val="17"/>
            <w:u w:val="single" w:color="auto"/>
            <w:color w:val="0000EE"/>
          </w:rPr>
          <w:t>the description of our common stock contained in our registration statement on Form 8-A filed with</w:t>
        </w:r>
      </w:hyperlink>
      <w:r>
        <w:rPr>
          <w:rFonts w:ascii="Arial" w:cs="Arial" w:eastAsia="Arial" w:hAnsi="Arial"/>
          <w:sz w:val="17"/>
          <w:szCs w:val="17"/>
          <w:u w:val="single" w:color="auto"/>
          <w:color w:val="0000EE"/>
        </w:rPr>
        <w:t xml:space="preserve"> </w:t>
      </w:r>
      <w:hyperlink r:id="rId119">
        <w:r>
          <w:rPr>
            <w:rFonts w:ascii="Arial" w:cs="Arial" w:eastAsia="Arial" w:hAnsi="Arial"/>
            <w:sz w:val="17"/>
            <w:szCs w:val="17"/>
            <w:u w:val="single" w:color="auto"/>
            <w:color w:val="0000EE"/>
          </w:rPr>
          <w:t>the SEC on November 7, 2019, including any amendments or reports filed for the purposes of</w:t>
        </w:r>
      </w:hyperlink>
      <w:r>
        <w:rPr>
          <w:rFonts w:ascii="Arial" w:cs="Arial" w:eastAsia="Arial" w:hAnsi="Arial"/>
          <w:sz w:val="17"/>
          <w:szCs w:val="17"/>
          <w:u w:val="single" w:color="auto"/>
          <w:color w:val="0000EE"/>
        </w:rPr>
        <w:t xml:space="preserve"> </w:t>
      </w:r>
      <w:hyperlink r:id="rId119">
        <w:r>
          <w:rPr>
            <w:rFonts w:ascii="Arial" w:cs="Arial" w:eastAsia="Arial" w:hAnsi="Arial"/>
            <w:sz w:val="17"/>
            <w:szCs w:val="17"/>
            <w:u w:val="single" w:color="auto"/>
            <w:color w:val="0000EE"/>
          </w:rPr>
          <w:t>updating this description</w:t>
        </w:r>
        <w:r>
          <w:rPr>
            <w:rFonts w:ascii="Arial" w:cs="Arial" w:eastAsia="Arial" w:hAnsi="Arial"/>
            <w:sz w:val="17"/>
            <w:szCs w:val="17"/>
            <w:color w:val="000000"/>
          </w:rPr>
          <w:t>.</w:t>
        </w:r>
      </w:hyperlink>
    </w:p>
    <w:p>
      <w:pPr>
        <w:spacing w:after="0" w:line="137" w:lineRule="exact"/>
        <w:rPr>
          <w:rFonts w:ascii="Arial" w:cs="Arial" w:eastAsia="Arial" w:hAnsi="Arial"/>
          <w:sz w:val="17"/>
          <w:szCs w:val="17"/>
          <w:u w:val="single" w:color="auto"/>
          <w:color w:val="0000EE"/>
        </w:rPr>
      </w:pPr>
    </w:p>
    <w:p>
      <w:pPr>
        <w:ind w:left="1260" w:right="779"/>
        <w:spacing w:after="0" w:line="268" w:lineRule="auto"/>
        <w:rPr>
          <w:sz w:val="20"/>
          <w:szCs w:val="20"/>
          <w:color w:val="auto"/>
        </w:rPr>
      </w:pPr>
      <w:r>
        <w:rPr>
          <w:rFonts w:ascii="Arial" w:cs="Arial" w:eastAsia="Arial" w:hAnsi="Arial"/>
          <w:sz w:val="17"/>
          <w:szCs w:val="17"/>
          <w:color w:val="auto"/>
        </w:rPr>
        <w:t>We also incorporate by reference any future filings (other than current reports furnished under Item 2.02 or Item 7.01 of Form 8-K and exhibits filed on such form that are related to such items) made with the SEC pursuant to Sections 13(a), 13(c), 14 or 15(d) of the Exchange Act, until the termination of the offering as to which this prospectus relates. Information in such future filings updates and supplements the information provided or incorporated by reference in this prospectus.</w:t>
      </w:r>
    </w:p>
    <w:p>
      <w:pPr>
        <w:spacing w:after="0" w:line="137" w:lineRule="exact"/>
        <w:rPr>
          <w:rFonts w:ascii="Arial" w:cs="Arial" w:eastAsia="Arial" w:hAnsi="Arial"/>
          <w:sz w:val="17"/>
          <w:szCs w:val="17"/>
          <w:u w:val="single" w:color="auto"/>
          <w:color w:val="0000EE"/>
        </w:rPr>
      </w:pPr>
    </w:p>
    <w:p>
      <w:pPr>
        <w:jc w:val="both"/>
        <w:ind w:left="1260" w:right="939"/>
        <w:spacing w:after="0" w:line="270" w:lineRule="auto"/>
        <w:rPr>
          <w:sz w:val="20"/>
          <w:szCs w:val="20"/>
          <w:color w:val="auto"/>
        </w:rPr>
      </w:pPr>
      <w:r>
        <w:rPr>
          <w:rFonts w:ascii="Arial" w:cs="Arial" w:eastAsia="Arial" w:hAnsi="Arial"/>
          <w:sz w:val="17"/>
          <w:szCs w:val="17"/>
          <w:color w:val="auto"/>
        </w:rPr>
        <w:t>Any information in this prospectus or any of the foregoing documents will automatically be deemed to be modified or superseded to the extent that information in this prospectus or in a later filed document that is incorporated or deemed to be incorporated herein by reference modifies or replaces such information.</w:t>
      </w:r>
    </w:p>
    <w:p>
      <w:pPr>
        <w:spacing w:after="0" w:line="123" w:lineRule="exact"/>
        <w:rPr>
          <w:rFonts w:ascii="Arial" w:cs="Arial" w:eastAsia="Arial" w:hAnsi="Arial"/>
          <w:sz w:val="17"/>
          <w:szCs w:val="17"/>
          <w:u w:val="single" w:color="auto"/>
          <w:color w:val="0000EE"/>
        </w:rPr>
      </w:pPr>
    </w:p>
    <w:p>
      <w:pPr>
        <w:ind w:left="1260" w:right="699"/>
        <w:spacing w:after="0" w:line="270" w:lineRule="auto"/>
        <w:rPr>
          <w:sz w:val="20"/>
          <w:szCs w:val="20"/>
          <w:color w:val="auto"/>
        </w:rPr>
      </w:pPr>
      <w:r>
        <w:rPr>
          <w:rFonts w:ascii="Arial" w:cs="Arial" w:eastAsia="Arial" w:hAnsi="Arial"/>
          <w:sz w:val="17"/>
          <w:szCs w:val="17"/>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37" w:lineRule="exact"/>
        <w:rPr>
          <w:rFonts w:ascii="Arial" w:cs="Arial" w:eastAsia="Arial" w:hAnsi="Arial"/>
          <w:sz w:val="17"/>
          <w:szCs w:val="17"/>
          <w:u w:val="single" w:color="auto"/>
          <w:color w:val="0000EE"/>
        </w:rPr>
      </w:pPr>
    </w:p>
    <w:p>
      <w:pPr>
        <w:ind w:left="1260" w:right="899"/>
        <w:spacing w:after="0" w:line="268" w:lineRule="auto"/>
        <w:rPr>
          <w:sz w:val="20"/>
          <w:szCs w:val="20"/>
          <w:color w:val="auto"/>
        </w:rPr>
      </w:pPr>
      <w:r>
        <w:rPr>
          <w:rFonts w:ascii="Arial" w:cs="Arial" w:eastAsia="Arial" w:hAnsi="Arial"/>
          <w:sz w:val="17"/>
          <w:szCs w:val="17"/>
          <w:color w:val="auto"/>
        </w:rPr>
        <w:t>We will furnish without charge to you, on written or oral request, a copy of any or all of the documents incorporated by reference in this prospectus, including exhibits to these documents. You should direct any requests for documents to TELA Bio, Inc., Attn: Corporate Secretary, 1 Great Valley Parkway, Suite 24, Malvern, Pennsylvania 19355.</w:t>
      </w:r>
    </w:p>
    <w:p>
      <w:pPr>
        <w:spacing w:after="0" w:line="139" w:lineRule="exact"/>
        <w:rPr>
          <w:rFonts w:ascii="Arial" w:cs="Arial" w:eastAsia="Arial" w:hAnsi="Arial"/>
          <w:sz w:val="17"/>
          <w:szCs w:val="17"/>
          <w:u w:val="single" w:color="auto"/>
          <w:color w:val="0000EE"/>
        </w:rPr>
      </w:pPr>
    </w:p>
    <w:p>
      <w:pPr>
        <w:jc w:val="both"/>
        <w:ind w:left="1260" w:right="699"/>
        <w:spacing w:after="0" w:line="268" w:lineRule="auto"/>
        <w:rPr>
          <w:sz w:val="20"/>
          <w:szCs w:val="20"/>
          <w:color w:val="auto"/>
        </w:rPr>
      </w:pPr>
      <w:r>
        <w:rPr>
          <w:rFonts w:ascii="Arial" w:cs="Arial" w:eastAsia="Arial" w:hAnsi="Arial"/>
          <w:sz w:val="17"/>
          <w:szCs w:val="17"/>
          <w:color w:val="auto"/>
        </w:rPr>
        <w:t>You also may access these filings on our website at www.telabio.com. We do not incorporate the information on our website into this prospectus and you should not consider any information on, or that can be accessed through, our website as part of this prospectus or any supplement to this prospectus (other than those filings with the SEC that we specifically incorporate by reference into this prospectus).</w:t>
      </w:r>
    </w:p>
    <w:p>
      <w:pPr>
        <w:spacing w:after="0" w:line="126" w:lineRule="exact"/>
        <w:rPr>
          <w:rFonts w:ascii="Arial" w:cs="Arial" w:eastAsia="Arial" w:hAnsi="Arial"/>
          <w:sz w:val="17"/>
          <w:szCs w:val="17"/>
          <w:u w:val="single" w:color="auto"/>
          <w:color w:val="0000EE"/>
        </w:rPr>
      </w:pPr>
    </w:p>
    <w:p>
      <w:pPr>
        <w:ind w:left="1260" w:right="899"/>
        <w:spacing w:after="0" w:line="270" w:lineRule="auto"/>
        <w:rPr>
          <w:sz w:val="20"/>
          <w:szCs w:val="20"/>
          <w:color w:val="auto"/>
        </w:rPr>
      </w:pPr>
      <w:r>
        <w:rPr>
          <w:rFonts w:ascii="Arial" w:cs="Arial" w:eastAsia="Arial" w:hAnsi="Arial"/>
          <w:sz w:val="17"/>
          <w:szCs w:val="17"/>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356" w:lineRule="exact"/>
        <w:rPr>
          <w:rFonts w:ascii="Arial" w:cs="Arial" w:eastAsia="Arial" w:hAnsi="Arial"/>
          <w:sz w:val="17"/>
          <w:szCs w:val="17"/>
          <w:u w:val="single" w:color="auto"/>
          <w:color w:val="0000EE"/>
        </w:rPr>
      </w:pPr>
    </w:p>
    <w:p>
      <w:pPr>
        <w:ind w:left="5280"/>
        <w:spacing w:after="0"/>
        <w:rPr>
          <w:sz w:val="20"/>
          <w:szCs w:val="20"/>
          <w:color w:val="auto"/>
        </w:rPr>
      </w:pPr>
      <w:r>
        <w:rPr>
          <w:rFonts w:ascii="Arial" w:cs="Arial" w:eastAsia="Arial" w:hAnsi="Arial"/>
          <w:sz w:val="16"/>
          <w:szCs w:val="16"/>
          <w:color w:val="auto"/>
        </w:rPr>
        <w:t>45</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306070</wp:posOffset>
            </wp:positionV>
            <wp:extent cx="521208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374650</wp:posOffset>
            </wp:positionV>
            <wp:extent cx="52120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00"/>
        <w:spacing w:after="0"/>
        <w:rPr>
          <w:sz w:val="20"/>
          <w:szCs w:val="20"/>
          <w:color w:val="auto"/>
        </w:rPr>
      </w:pPr>
      <w:r>
        <w:rPr>
          <w:rFonts w:ascii="Arial" w:cs="Arial" w:eastAsia="Arial" w:hAnsi="Arial"/>
          <w:sz w:val="29"/>
          <w:szCs w:val="29"/>
          <w:b w:val="1"/>
          <w:bCs w:val="1"/>
          <w:color w:val="auto"/>
        </w:rPr>
        <w:t>3,000,000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345440</wp:posOffset>
            </wp:positionV>
            <wp:extent cx="2734310" cy="6000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273431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60"/>
        <w:spacing w:after="0"/>
        <w:rPr>
          <w:sz w:val="20"/>
          <w:szCs w:val="20"/>
          <w:color w:val="auto"/>
        </w:rPr>
      </w:pPr>
      <w:r>
        <w:rPr>
          <w:rFonts w:ascii="Arial" w:cs="Arial" w:eastAsia="Arial" w:hAnsi="Arial"/>
          <w:sz w:val="32"/>
          <w:szCs w:val="32"/>
          <w:b w:val="1"/>
          <w:bCs w:val="1"/>
          <w:color w:val="auto"/>
        </w:rPr>
        <w:t>TELA Bio, Inc.</w:t>
      </w:r>
    </w:p>
    <w:p>
      <w:pPr>
        <w:spacing w:after="0" w:line="209" w:lineRule="exact"/>
        <w:rPr>
          <w:sz w:val="20"/>
          <w:szCs w:val="20"/>
          <w:color w:val="auto"/>
        </w:rPr>
      </w:pPr>
    </w:p>
    <w:p>
      <w:pPr>
        <w:ind w:left="432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696595</wp:posOffset>
            </wp:positionV>
            <wp:extent cx="19202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860"/>
        <w:spacing w:after="0"/>
        <w:rPr>
          <w:sz w:val="20"/>
          <w:szCs w:val="20"/>
          <w:color w:val="auto"/>
        </w:rPr>
      </w:pPr>
      <w:r>
        <w:rPr>
          <w:rFonts w:ascii="Arial" w:cs="Arial" w:eastAsia="Arial" w:hAnsi="Arial"/>
          <w:sz w:val="21"/>
          <w:szCs w:val="21"/>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184150</wp:posOffset>
            </wp:positionV>
            <wp:extent cx="19202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Joint Book-Running Managers</w:t>
      </w:r>
    </w:p>
    <w:p>
      <w:pPr>
        <w:spacing w:after="0" w:line="204" w:lineRule="exact"/>
        <w:rPr>
          <w:sz w:val="20"/>
          <w:szCs w:val="20"/>
          <w:color w:val="auto"/>
        </w:rPr>
      </w:pPr>
    </w:p>
    <w:p>
      <w:pPr>
        <w:jc w:val="center"/>
        <w:ind w:right="-600"/>
        <w:spacing w:after="0"/>
        <w:rPr>
          <w:sz w:val="20"/>
          <w:szCs w:val="20"/>
          <w:color w:val="auto"/>
        </w:rPr>
      </w:pPr>
      <w:r>
        <w:rPr>
          <w:rFonts w:ascii="Arial" w:cs="Arial" w:eastAsia="Arial" w:hAnsi="Arial"/>
          <w:sz w:val="29"/>
          <w:szCs w:val="29"/>
          <w:b w:val="1"/>
          <w:bCs w:val="1"/>
          <w:color w:val="auto"/>
        </w:rPr>
        <w:t>Jefferies</w:t>
      </w:r>
    </w:p>
    <w:p>
      <w:pPr>
        <w:spacing w:after="0" w:line="72" w:lineRule="exact"/>
        <w:rPr>
          <w:sz w:val="20"/>
          <w:szCs w:val="20"/>
          <w:color w:val="auto"/>
        </w:rPr>
      </w:pPr>
    </w:p>
    <w:p>
      <w:pPr>
        <w:jc w:val="center"/>
        <w:ind w:right="-600"/>
        <w:spacing w:after="0"/>
        <w:rPr>
          <w:sz w:val="20"/>
          <w:szCs w:val="20"/>
          <w:color w:val="auto"/>
        </w:rPr>
      </w:pPr>
      <w:r>
        <w:rPr>
          <w:rFonts w:ascii="Arial" w:cs="Arial" w:eastAsia="Arial" w:hAnsi="Arial"/>
          <w:sz w:val="29"/>
          <w:szCs w:val="29"/>
          <w:b w:val="1"/>
          <w:bCs w:val="1"/>
          <w:color w:val="auto"/>
        </w:rPr>
        <w:t>Piper Sandler</w:t>
      </w:r>
    </w:p>
    <w:p>
      <w:pPr>
        <w:spacing w:after="0" w:line="200" w:lineRule="exact"/>
        <w:rPr>
          <w:sz w:val="20"/>
          <w:szCs w:val="20"/>
          <w:color w:val="auto"/>
        </w:rPr>
      </w:pPr>
    </w:p>
    <w:p>
      <w:pPr>
        <w:spacing w:after="0" w:line="244"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Lead Manager</w:t>
      </w:r>
    </w:p>
    <w:p>
      <w:pPr>
        <w:spacing w:after="0" w:line="213" w:lineRule="exact"/>
        <w:rPr>
          <w:sz w:val="20"/>
          <w:szCs w:val="20"/>
          <w:color w:val="auto"/>
        </w:rPr>
      </w:pPr>
    </w:p>
    <w:p>
      <w:pPr>
        <w:ind w:left="4220"/>
        <w:spacing w:after="0"/>
        <w:rPr>
          <w:sz w:val="20"/>
          <w:szCs w:val="20"/>
          <w:color w:val="auto"/>
        </w:rPr>
      </w:pPr>
      <w:r>
        <w:rPr>
          <w:rFonts w:ascii="Arial" w:cs="Arial" w:eastAsia="Arial" w:hAnsi="Arial"/>
          <w:sz w:val="25"/>
          <w:szCs w:val="25"/>
          <w:b w:val="1"/>
          <w:bCs w:val="1"/>
          <w:color w:val="auto"/>
        </w:rPr>
        <w:t>Canaccord Genuity</w:t>
      </w:r>
    </w:p>
    <w:p>
      <w:pPr>
        <w:spacing w:after="0" w:line="200" w:lineRule="exact"/>
        <w:rPr>
          <w:sz w:val="20"/>
          <w:szCs w:val="20"/>
          <w:color w:val="auto"/>
        </w:rPr>
      </w:pPr>
    </w:p>
    <w:p>
      <w:pPr>
        <w:spacing w:after="0" w:line="253" w:lineRule="exact"/>
        <w:rPr>
          <w:sz w:val="20"/>
          <w:szCs w:val="20"/>
          <w:color w:val="auto"/>
        </w:rPr>
      </w:pPr>
    </w:p>
    <w:p>
      <w:pPr>
        <w:jc w:val="center"/>
        <w:ind w:right="-600"/>
        <w:spacing w:after="0"/>
        <w:rPr>
          <w:sz w:val="20"/>
          <w:szCs w:val="20"/>
          <w:color w:val="auto"/>
        </w:rPr>
      </w:pPr>
      <w:r>
        <w:rPr>
          <w:rFonts w:ascii="Arial" w:cs="Arial" w:eastAsia="Arial" w:hAnsi="Arial"/>
          <w:sz w:val="18"/>
          <w:szCs w:val="18"/>
          <w:i w:val="1"/>
          <w:iCs w:val="1"/>
          <w:color w:val="auto"/>
        </w:rPr>
        <w:t>Co-Manager</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JMP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396240</wp:posOffset>
            </wp:positionV>
            <wp:extent cx="52120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447675</wp:posOffset>
            </wp:positionV>
            <wp:extent cx="521208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721995</wp:posOffset>
            </wp:positionV>
            <wp:extent cx="68065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08" w:lineRule="exact"/>
        <w:rPr>
          <w:sz w:val="20"/>
          <w:szCs w:val="20"/>
          <w:color w:val="auto"/>
        </w:rPr>
      </w:pPr>
    </w:p>
    <w:p>
      <w:pPr>
        <w:ind w:left="1260" w:right="899"/>
        <w:spacing w:after="0" w:line="254" w:lineRule="auto"/>
        <w:rPr>
          <w:sz w:val="20"/>
          <w:szCs w:val="20"/>
          <w:color w:val="auto"/>
        </w:rPr>
      </w:pPr>
      <w:r>
        <w:rPr>
          <w:rFonts w:ascii="Arial" w:cs="Arial" w:eastAsia="Arial" w:hAnsi="Arial"/>
          <w:sz w:val="17"/>
          <w:szCs w:val="17"/>
          <w:color w:val="auto"/>
        </w:rPr>
        <w:t>The following table sets forth the fees and expenses, other than underwriting discounts and commissions, payable in connection with the registration of the common stock hereunder. All amounts are estimates except the SEC registration fee and the 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115570</wp:posOffset>
            </wp:positionV>
            <wp:extent cx="52120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5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73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AMOUNT TO</w:t>
            </w:r>
          </w:p>
        </w:tc>
      </w:tr>
      <w:tr>
        <w:trPr>
          <w:trHeight w:val="190"/>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96"/>
              <w:spacing w:after="0"/>
              <w:rPr>
                <w:sz w:val="20"/>
                <w:szCs w:val="20"/>
                <w:color w:val="auto"/>
              </w:rPr>
            </w:pPr>
            <w:r>
              <w:rPr>
                <w:rFonts w:ascii="Arial" w:cs="Arial" w:eastAsia="Arial" w:hAnsi="Arial"/>
                <w:sz w:val="14"/>
                <w:szCs w:val="14"/>
                <w:b w:val="1"/>
                <w:bCs w:val="1"/>
                <w:color w:val="auto"/>
              </w:rPr>
              <w:t>BE PAID</w:t>
            </w:r>
          </w:p>
        </w:tc>
      </w:tr>
      <w:tr>
        <w:trPr>
          <w:trHeight w:val="26"/>
        </w:trPr>
        <w:tc>
          <w:tcPr>
            <w:tcW w:w="7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3"/>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9,669</w:t>
            </w:r>
          </w:p>
        </w:tc>
      </w:tr>
      <w:tr>
        <w:trPr>
          <w:trHeight w:val="241"/>
        </w:trPr>
        <w:tc>
          <w:tcPr>
            <w:tcW w:w="7300" w:type="dxa"/>
            <w:vAlign w:val="bottom"/>
          </w:tcPr>
          <w:p>
            <w:pPr>
              <w:spacing w:after="0"/>
              <w:rPr>
                <w:sz w:val="20"/>
                <w:szCs w:val="20"/>
                <w:color w:val="auto"/>
              </w:rPr>
            </w:pPr>
            <w:r>
              <w:rPr>
                <w:rFonts w:ascii="Arial" w:cs="Arial" w:eastAsia="Arial" w:hAnsi="Arial"/>
                <w:sz w:val="17"/>
                <w:szCs w:val="17"/>
                <w:color w:val="auto"/>
              </w:rPr>
              <w:t>FINRA filing fee</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11,673</w:t>
            </w:r>
          </w:p>
        </w:tc>
      </w:tr>
      <w:tr>
        <w:trPr>
          <w:trHeight w:val="245"/>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Printing and engraving fees</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r>
      <w:tr>
        <w:trPr>
          <w:trHeight w:val="241"/>
        </w:trPr>
        <w:tc>
          <w:tcPr>
            <w:tcW w:w="7300" w:type="dxa"/>
            <w:vAlign w:val="bottom"/>
          </w:tcPr>
          <w:p>
            <w:pPr>
              <w:spacing w:after="0"/>
              <w:rPr>
                <w:sz w:val="20"/>
                <w:szCs w:val="20"/>
                <w:color w:val="auto"/>
              </w:rPr>
            </w:pPr>
            <w:r>
              <w:rPr>
                <w:rFonts w:ascii="Arial" w:cs="Arial" w:eastAsia="Arial" w:hAnsi="Arial"/>
                <w:sz w:val="17"/>
                <w:szCs w:val="17"/>
                <w:color w:val="auto"/>
              </w:rPr>
              <w:t>Legal fees and expenses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220,000</w:t>
            </w:r>
          </w:p>
        </w:tc>
      </w:tr>
      <w:tr>
        <w:trPr>
          <w:trHeight w:val="245"/>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Accounting fees and expenses</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r>
      <w:tr>
        <w:trPr>
          <w:trHeight w:val="241"/>
        </w:trPr>
        <w:tc>
          <w:tcPr>
            <w:tcW w:w="7300" w:type="dxa"/>
            <w:vAlign w:val="bottom"/>
          </w:tcPr>
          <w:p>
            <w:pPr>
              <w:spacing w:after="0"/>
              <w:rPr>
                <w:sz w:val="20"/>
                <w:szCs w:val="20"/>
                <w:color w:val="auto"/>
              </w:rPr>
            </w:pPr>
            <w:r>
              <w:rPr>
                <w:rFonts w:ascii="Arial" w:cs="Arial" w:eastAsia="Arial" w:hAnsi="Arial"/>
                <w:sz w:val="17"/>
                <w:szCs w:val="17"/>
                <w:color w:val="auto"/>
              </w:rPr>
              <w:t>Transfer agent and registrar fees and expenses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5,000</w:t>
            </w:r>
          </w:p>
        </w:tc>
      </w:tr>
      <w:tr>
        <w:trPr>
          <w:trHeight w:val="245"/>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Miscellaneous expenses</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3,658</w:t>
            </w:r>
          </w:p>
        </w:tc>
      </w:tr>
      <w:tr>
        <w:trPr>
          <w:trHeight w:val="241"/>
        </w:trPr>
        <w:tc>
          <w:tcPr>
            <w:tcW w:w="7300" w:type="dxa"/>
            <w:vAlign w:val="bottom"/>
          </w:tcPr>
          <w:p>
            <w:pPr>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450,000</w:t>
            </w:r>
          </w:p>
        </w:tc>
      </w:tr>
      <w:tr>
        <w:trPr>
          <w:trHeight w:val="20"/>
        </w:trPr>
        <w:tc>
          <w:tcPr>
            <w:tcW w:w="7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-1276985</wp:posOffset>
            </wp:positionV>
            <wp:extent cx="46291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95" w:lineRule="exact"/>
        <w:rPr>
          <w:sz w:val="20"/>
          <w:szCs w:val="20"/>
          <w:color w:val="auto"/>
        </w:rPr>
      </w:pPr>
    </w:p>
    <w:p>
      <w:pPr>
        <w:ind w:left="1260" w:right="739"/>
        <w:spacing w:after="0" w:line="249" w:lineRule="auto"/>
        <w:rPr>
          <w:sz w:val="20"/>
          <w:szCs w:val="20"/>
          <w:color w:val="auto"/>
        </w:rPr>
      </w:pPr>
      <w:r>
        <w:rPr>
          <w:rFonts w:ascii="Arial" w:cs="Arial" w:eastAsia="Arial" w:hAnsi="Arial"/>
          <w:sz w:val="17"/>
          <w:szCs w:val="17"/>
          <w:color w:val="auto"/>
        </w:rPr>
        <w:t>The registrant is governed by the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42" w:lineRule="exact"/>
        <w:rPr>
          <w:sz w:val="20"/>
          <w:szCs w:val="20"/>
          <w:color w:val="auto"/>
        </w:rPr>
      </w:pPr>
    </w:p>
    <w:p>
      <w:pPr>
        <w:ind w:left="1260" w:right="939"/>
        <w:spacing w:after="0" w:line="259" w:lineRule="auto"/>
        <w:rPr>
          <w:sz w:val="20"/>
          <w:szCs w:val="20"/>
          <w:color w:val="auto"/>
        </w:rPr>
      </w:pPr>
      <w:r>
        <w:rPr>
          <w:rFonts w:ascii="Arial" w:cs="Arial" w:eastAsia="Arial" w:hAnsi="Arial"/>
          <w:sz w:val="17"/>
          <w:szCs w:val="17"/>
          <w:color w:val="auto"/>
        </w:rPr>
        <w:t>The registrant’s second amended and restated bylaws will authorize the indemnification of its officers and directors, consistent with Section 145 of the DGCL.</w:t>
      </w:r>
    </w:p>
    <w:p>
      <w:pPr>
        <w:spacing w:after="0" w:line="118" w:lineRule="exact"/>
        <w:rPr>
          <w:sz w:val="20"/>
          <w:szCs w:val="20"/>
          <w:color w:val="auto"/>
        </w:rPr>
      </w:pPr>
    </w:p>
    <w:p>
      <w:pPr>
        <w:ind w:left="1260" w:right="699"/>
        <w:spacing w:after="0" w:line="250" w:lineRule="auto"/>
        <w:rPr>
          <w:sz w:val="20"/>
          <w:szCs w:val="20"/>
          <w:color w:val="auto"/>
        </w:rPr>
      </w:pPr>
      <w:r>
        <w:rPr>
          <w:rFonts w:ascii="Arial" w:cs="Arial" w:eastAsia="Arial" w:hAnsi="Arial"/>
          <w:sz w:val="17"/>
          <w:szCs w:val="17"/>
          <w:color w:val="auto"/>
        </w:rPr>
        <w:t>Reference is made to Section 102(b)(7) of the DGCL, which enables a corporation in its original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00" w:lineRule="exact"/>
        <w:rPr>
          <w:sz w:val="20"/>
          <w:szCs w:val="20"/>
          <w:color w:val="auto"/>
        </w:rPr>
      </w:pPr>
    </w:p>
    <w:p>
      <w:pPr>
        <w:ind w:left="1260" w:right="799"/>
        <w:spacing w:after="0" w:line="252" w:lineRule="auto"/>
        <w:rPr>
          <w:sz w:val="20"/>
          <w:szCs w:val="20"/>
          <w:color w:val="auto"/>
        </w:rPr>
      </w:pPr>
      <w:r>
        <w:rPr>
          <w:rFonts w:ascii="Arial" w:cs="Arial" w:eastAsia="Arial" w:hAnsi="Arial"/>
          <w:sz w:val="17"/>
          <w:szCs w:val="17"/>
          <w:color w:val="auto"/>
        </w:rPr>
        <w:t>We have entered or intend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959"/>
        <w:spacing w:after="0" w:line="254" w:lineRule="auto"/>
        <w:rPr>
          <w:sz w:val="20"/>
          <w:szCs w:val="20"/>
          <w:color w:val="auto"/>
        </w:rPr>
      </w:pPr>
      <w:r>
        <w:rPr>
          <w:rFonts w:ascii="Arial" w:cs="Arial" w:eastAsia="Arial" w:hAnsi="Arial"/>
          <w:sz w:val="17"/>
          <w:szCs w:val="17"/>
          <w:color w:val="auto"/>
        </w:rPr>
        <w:t>or officer in any action or proceeding arising out of his or her service as one of our directors or officers, or any of our subsidiaries or any other company or enterprise to which the person provides services at our request.</w:t>
      </w:r>
    </w:p>
    <w:p>
      <w:pPr>
        <w:spacing w:after="0" w:line="135" w:lineRule="exact"/>
        <w:rPr>
          <w:sz w:val="20"/>
          <w:szCs w:val="20"/>
          <w:color w:val="auto"/>
        </w:rPr>
      </w:pPr>
    </w:p>
    <w:p>
      <w:pPr>
        <w:ind w:left="1260" w:right="899"/>
        <w:spacing w:after="0" w:line="259" w:lineRule="auto"/>
        <w:rPr>
          <w:sz w:val="20"/>
          <w:szCs w:val="20"/>
          <w:color w:val="auto"/>
        </w:rPr>
      </w:pPr>
      <w:r>
        <w:rPr>
          <w:rFonts w:ascii="Arial" w:cs="Arial" w:eastAsia="Arial" w:hAnsi="Arial"/>
          <w:sz w:val="17"/>
          <w:szCs w:val="17"/>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32" w:lineRule="exact"/>
        <w:rPr>
          <w:sz w:val="20"/>
          <w:szCs w:val="20"/>
          <w:color w:val="auto"/>
        </w:rPr>
      </w:pPr>
    </w:p>
    <w:p>
      <w:pPr>
        <w:ind w:left="1260" w:right="819"/>
        <w:spacing w:after="0" w:line="252" w:lineRule="auto"/>
        <w:rPr>
          <w:sz w:val="20"/>
          <w:szCs w:val="20"/>
          <w:color w:val="auto"/>
        </w:rPr>
      </w:pPr>
      <w:r>
        <w:rPr>
          <w:rFonts w:ascii="Arial" w:cs="Arial" w:eastAsia="Arial" w:hAnsi="Arial"/>
          <w:sz w:val="17"/>
          <w:szCs w:val="17"/>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or the Securities Act, against certain liabilities.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95" w:lineRule="exact"/>
        <w:rPr>
          <w:sz w:val="20"/>
          <w:szCs w:val="20"/>
          <w:color w:val="auto"/>
        </w:rPr>
      </w:pPr>
    </w:p>
    <w:p>
      <w:pPr>
        <w:ind w:left="1260" w:right="899"/>
        <w:spacing w:after="0" w:line="254" w:lineRule="auto"/>
        <w:rPr>
          <w:sz w:val="20"/>
          <w:szCs w:val="20"/>
          <w:color w:val="auto"/>
        </w:rPr>
      </w:pPr>
      <w:r>
        <w:rPr>
          <w:rFonts w:ascii="Arial" w:cs="Arial" w:eastAsia="Arial" w:hAnsi="Arial"/>
          <w:sz w:val="17"/>
          <w:szCs w:val="17"/>
          <w:color w:val="auto"/>
        </w:rPr>
        <w:t>Set forth below is information regarding all unregistered securities sold by us within the past three years. Also included is the consideration received by us for such shares and information relating to the section of the Securities Act, or rule of the SEC, under which exemption from registration was claimed.</w:t>
      </w:r>
    </w:p>
    <w:p>
      <w:pPr>
        <w:spacing w:after="0" w:line="117" w:lineRule="exact"/>
        <w:rPr>
          <w:sz w:val="20"/>
          <w:szCs w:val="20"/>
          <w:color w:val="auto"/>
        </w:rPr>
      </w:pPr>
    </w:p>
    <w:p>
      <w:pPr>
        <w:ind w:left="1980" w:hanging="358"/>
        <w:spacing w:after="0"/>
        <w:tabs>
          <w:tab w:leader="none" w:pos="198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Issuance of Capital Stock, Convertible Notes and Warrants</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ind w:left="2340" w:hanging="358"/>
        <w:spacing w:after="0"/>
        <w:tabs>
          <w:tab w:leader="none" w:pos="23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On April 26, 2018, in connection with the closing of an $8.0 million term loan under our</w:t>
      </w:r>
    </w:p>
    <w:p>
      <w:pPr>
        <w:spacing w:after="0" w:line="20" w:lineRule="exact"/>
        <w:rPr>
          <w:rFonts w:ascii="Arial" w:cs="Arial" w:eastAsia="Arial" w:hAnsi="Arial"/>
          <w:sz w:val="17"/>
          <w:szCs w:val="17"/>
          <w:color w:val="auto"/>
        </w:rPr>
      </w:pPr>
    </w:p>
    <w:p>
      <w:pPr>
        <w:ind w:left="2340" w:right="739"/>
        <w:spacing w:after="0" w:line="267" w:lineRule="auto"/>
        <w:rPr>
          <w:rFonts w:ascii="Arial" w:cs="Arial" w:eastAsia="Arial" w:hAnsi="Arial"/>
          <w:sz w:val="17"/>
          <w:szCs w:val="17"/>
          <w:color w:val="auto"/>
        </w:rPr>
      </w:pPr>
      <w:r>
        <w:rPr>
          <w:rFonts w:ascii="Arial" w:cs="Arial" w:eastAsia="Arial" w:hAnsi="Arial"/>
          <w:sz w:val="17"/>
          <w:szCs w:val="17"/>
          <w:color w:val="auto"/>
        </w:rPr>
        <w:t>$14.0 million debt financing transaction with MidCap Financial, we issued warrants to MidCap Financial Trust to purchase 206,897 shares of our Series B Preferred Stock at an exercise price of $1.16 per share. An aggregate of $0.2 million of the term loan was allocated to the purchase price for the warrants. Immediately prior to the completion of our initial public offering, or our IPO, these warrants became exercisable for up to 8,379 shares of our common stock, at an exercise price of $28.65 per share.</w:t>
      </w:r>
    </w:p>
    <w:p>
      <w:pPr>
        <w:spacing w:after="0" w:line="126" w:lineRule="exact"/>
        <w:rPr>
          <w:rFonts w:ascii="Arial" w:cs="Arial" w:eastAsia="Arial" w:hAnsi="Arial"/>
          <w:sz w:val="17"/>
          <w:szCs w:val="17"/>
          <w:color w:val="auto"/>
        </w:rPr>
      </w:pPr>
    </w:p>
    <w:p>
      <w:pPr>
        <w:ind w:left="2340" w:right="699" w:hanging="358"/>
        <w:spacing w:after="0" w:line="268" w:lineRule="auto"/>
        <w:tabs>
          <w:tab w:leader="none" w:pos="23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On October 23, 2017, we issued an aggregate of 12,931,034 shares of our Series B Preferred Stock to Pacira Pharmaceuticals, Inc. at a price per share of $1.16, for aggregate consideration of $15.0 million. These shares automatically converted into 523,735 shares of our common stock immediately prior to the completion of our IPO.</w:t>
      </w:r>
    </w:p>
    <w:p>
      <w:pPr>
        <w:spacing w:after="0" w:line="125" w:lineRule="exact"/>
        <w:rPr>
          <w:rFonts w:ascii="Arial" w:cs="Arial" w:eastAsia="Arial" w:hAnsi="Arial"/>
          <w:sz w:val="17"/>
          <w:szCs w:val="17"/>
          <w:color w:val="auto"/>
        </w:rPr>
      </w:pPr>
    </w:p>
    <w:p>
      <w:pPr>
        <w:ind w:left="2340" w:right="739" w:hanging="358"/>
        <w:spacing w:after="0" w:line="268" w:lineRule="auto"/>
        <w:tabs>
          <w:tab w:leader="none" w:pos="23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On March 23, 2018, we issued an aggregate of 431,034 shares of our Series B Preferred Stock to ProMedica Health System, Inc. at a price per share of $1.16, for aggregate consideration of $0.5 million. These shares automatically converted into 17,457 shares of our common stock immediately prior to the completion of our IPO.</w:t>
      </w:r>
    </w:p>
    <w:p>
      <w:pPr>
        <w:spacing w:after="0" w:line="125" w:lineRule="exact"/>
        <w:rPr>
          <w:rFonts w:ascii="Arial" w:cs="Arial" w:eastAsia="Arial" w:hAnsi="Arial"/>
          <w:sz w:val="17"/>
          <w:szCs w:val="17"/>
          <w:color w:val="auto"/>
        </w:rPr>
      </w:pPr>
    </w:p>
    <w:p>
      <w:pPr>
        <w:ind w:left="2340" w:right="739" w:hanging="358"/>
        <w:spacing w:after="0" w:line="268" w:lineRule="auto"/>
        <w:tabs>
          <w:tab w:leader="none" w:pos="23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On April 13, 2018, we issued an aggregate of 431,034 shares of our Series B Preferred Stock to Checkmate Strategic Capital 1, LLC at a price per share of $1.16, for aggregate consideration of $0.5 million. These shares automatically converted into 17,457 shares of our common stock immediately prior to the completion of our IPO.</w:t>
      </w:r>
    </w:p>
    <w:p>
      <w:pPr>
        <w:spacing w:after="0" w:line="139" w:lineRule="exact"/>
        <w:rPr>
          <w:rFonts w:ascii="Arial" w:cs="Arial" w:eastAsia="Arial" w:hAnsi="Arial"/>
          <w:sz w:val="17"/>
          <w:szCs w:val="17"/>
          <w:color w:val="auto"/>
        </w:rPr>
      </w:pPr>
    </w:p>
    <w:p>
      <w:pPr>
        <w:ind w:left="2340" w:right="739" w:hanging="358"/>
        <w:spacing w:after="0" w:line="265" w:lineRule="auto"/>
        <w:tabs>
          <w:tab w:leader="none" w:pos="23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On April 27, 2018, we issued an aggregate of 432,000 shares of our Series B Preferred Stock to George DeNoto III, MD at a price per share of $1.16, for aggregate consideration of</w:t>
      </w:r>
    </w:p>
    <w:p>
      <w:pPr>
        <w:ind w:left="2340" w:right="879"/>
        <w:spacing w:after="0" w:line="276" w:lineRule="auto"/>
        <w:rPr>
          <w:rFonts w:ascii="Arial" w:cs="Arial" w:eastAsia="Arial" w:hAnsi="Arial"/>
          <w:sz w:val="17"/>
          <w:szCs w:val="17"/>
          <w:color w:val="auto"/>
        </w:rPr>
      </w:pPr>
      <w:r>
        <w:rPr>
          <w:rFonts w:ascii="Arial" w:cs="Arial" w:eastAsia="Arial" w:hAnsi="Arial"/>
          <w:sz w:val="17"/>
          <w:szCs w:val="17"/>
          <w:color w:val="auto"/>
        </w:rPr>
        <w:t>$0.5 million. These shares automatically converted into 17,496 shares of our common stock immediately prior to the completion of our IPO.</w:t>
      </w:r>
    </w:p>
    <w:p>
      <w:pPr>
        <w:spacing w:after="0" w:line="117" w:lineRule="exact"/>
        <w:rPr>
          <w:rFonts w:ascii="Arial" w:cs="Arial" w:eastAsia="Arial" w:hAnsi="Arial"/>
          <w:sz w:val="17"/>
          <w:szCs w:val="17"/>
          <w:color w:val="auto"/>
        </w:rPr>
      </w:pPr>
    </w:p>
    <w:p>
      <w:pPr>
        <w:ind w:left="2340" w:right="879" w:hanging="358"/>
        <w:spacing w:after="0" w:line="268" w:lineRule="auto"/>
        <w:tabs>
          <w:tab w:leader="none" w:pos="23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On November 20, 2018, we issued an aggregate of 1,781,967 shares of our Series B Preferred Stock to investors at a price per share of $1.16, for aggregate consideration of $2.1 million. These shares automatically converted into 72,170 shares of our common stock immediately prior to the completion of our IPO.</w:t>
      </w:r>
    </w:p>
    <w:p>
      <w:pPr>
        <w:spacing w:after="0" w:line="98" w:lineRule="exact"/>
        <w:rPr>
          <w:rFonts w:ascii="Arial" w:cs="Arial" w:eastAsia="Arial" w:hAnsi="Arial"/>
          <w:sz w:val="17"/>
          <w:szCs w:val="17"/>
          <w:color w:val="auto"/>
        </w:rPr>
      </w:pPr>
    </w:p>
    <w:p>
      <w:pPr>
        <w:ind w:left="2340" w:right="759" w:hanging="358"/>
        <w:spacing w:after="0" w:line="268" w:lineRule="auto"/>
        <w:tabs>
          <w:tab w:leader="none" w:pos="23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On December 31, 2018, we issued an aggregate of 531,034 shares of our Series B Preferred Stock to investors at a price per share of $1.16, for aggregate consideration of $0.6 million. These shares automatically converted into 21,504 shares of our common stock immediately prior to the completion of our IPO.</w:t>
      </w:r>
    </w:p>
    <w:p>
      <w:pPr>
        <w:spacing w:after="0" w:line="125" w:lineRule="exact"/>
        <w:rPr>
          <w:rFonts w:ascii="Arial" w:cs="Arial" w:eastAsia="Arial" w:hAnsi="Arial"/>
          <w:sz w:val="17"/>
          <w:szCs w:val="17"/>
          <w:color w:val="auto"/>
        </w:rPr>
      </w:pPr>
    </w:p>
    <w:p>
      <w:pPr>
        <w:ind w:left="2340" w:right="739" w:hanging="358"/>
        <w:spacing w:after="0" w:line="268" w:lineRule="auto"/>
        <w:tabs>
          <w:tab w:leader="none" w:pos="23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On January 31, 2019, we issued an aggregate of 431,034 shares of our Series B Preferred Stock to Promedica Health Systems, Inc. at a price per share of $1.16, for aggregate consideration of $0.5 million. These shares automatically converted into 17,457 shares of our common stock immediately prior to the completion of our IPO.</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340" w:right="839" w:hanging="358"/>
        <w:spacing w:after="0" w:line="268" w:lineRule="auto"/>
        <w:tabs>
          <w:tab w:leader="none" w:pos="23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On June 28, 2019, we issued an aggregate of 10,123,480 shares of our Series B Preferred Stock to holders of our preferred stock at a price per share of $1.16, for aggregate consideration of $11.7 million. These shares automatically converted into 410,411 shares of our common stock immediately prior to the completion of our IPO.</w:t>
      </w:r>
    </w:p>
    <w:p>
      <w:pPr>
        <w:spacing w:after="0" w:line="139" w:lineRule="exact"/>
        <w:rPr>
          <w:rFonts w:ascii="Arial" w:cs="Arial" w:eastAsia="Arial" w:hAnsi="Arial"/>
          <w:sz w:val="17"/>
          <w:szCs w:val="17"/>
          <w:color w:val="auto"/>
        </w:rPr>
      </w:pPr>
    </w:p>
    <w:p>
      <w:pPr>
        <w:ind w:left="2340" w:right="739" w:hanging="358"/>
        <w:spacing w:after="0" w:line="268" w:lineRule="auto"/>
        <w:tabs>
          <w:tab w:leader="none" w:pos="23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On July 31, 2019, we issued an aggregate of 1,463,959 shares of our Series B Preferred Stock to holders of our preferred stock at a price per share of $1.16, for aggregate consideration of $1.7 million. These shares automatically converted into 59,283 shares of our common stock immediately prior to the completion of our IPO.</w:t>
      </w:r>
    </w:p>
    <w:p>
      <w:pPr>
        <w:spacing w:after="0" w:line="139" w:lineRule="exact"/>
        <w:rPr>
          <w:rFonts w:ascii="Arial" w:cs="Arial" w:eastAsia="Arial" w:hAnsi="Arial"/>
          <w:sz w:val="17"/>
          <w:szCs w:val="17"/>
          <w:color w:val="auto"/>
        </w:rPr>
      </w:pPr>
    </w:p>
    <w:p>
      <w:pPr>
        <w:ind w:left="2340" w:right="879" w:hanging="358"/>
        <w:spacing w:after="0" w:line="268" w:lineRule="auto"/>
        <w:tabs>
          <w:tab w:leader="none" w:pos="23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On August 30, 2019, we issued an aggregate of 509,483 shares of our Series B Preferred Stock to investors at a price per share of $1.16, for aggregate consideration of $0.6 million. These shares automatically converted into 20,632 shares of our common stock immediately prior to the completion of our IPO.</w:t>
      </w:r>
    </w:p>
    <w:p>
      <w:pPr>
        <w:spacing w:after="0" w:line="125" w:lineRule="exact"/>
        <w:rPr>
          <w:rFonts w:ascii="Arial" w:cs="Arial" w:eastAsia="Arial" w:hAnsi="Arial"/>
          <w:sz w:val="17"/>
          <w:szCs w:val="17"/>
          <w:color w:val="auto"/>
        </w:rPr>
      </w:pPr>
    </w:p>
    <w:p>
      <w:pPr>
        <w:ind w:left="2340" w:right="679" w:hanging="358"/>
        <w:spacing w:after="0" w:line="270" w:lineRule="auto"/>
        <w:tabs>
          <w:tab w:leader="none" w:pos="23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On November 7, 2019, we granted options to purchase an aggregate of 883,042 shares of our common stock with an exercise price of $13.00 per share to 66 employees and seven directors.</w:t>
      </w:r>
    </w:p>
    <w:p>
      <w:pPr>
        <w:spacing w:after="0" w:line="118" w:lineRule="exact"/>
        <w:rPr>
          <w:rFonts w:ascii="Arial" w:cs="Arial" w:eastAsia="Arial" w:hAnsi="Arial"/>
          <w:sz w:val="17"/>
          <w:szCs w:val="17"/>
          <w:color w:val="auto"/>
        </w:rPr>
      </w:pPr>
    </w:p>
    <w:p>
      <w:pPr>
        <w:ind w:left="1980" w:hanging="358"/>
        <w:spacing w:after="0"/>
        <w:tabs>
          <w:tab w:leader="none" w:pos="198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Equity Awards</w:t>
      </w:r>
      <w:r>
        <w:rPr>
          <w:rFonts w:ascii="Arial" w:cs="Arial" w:eastAsia="Arial" w:hAnsi="Arial"/>
          <w:sz w:val="17"/>
          <w:szCs w:val="17"/>
          <w:color w:val="auto"/>
        </w:rPr>
        <w:t>.</w:t>
      </w:r>
    </w:p>
    <w:p>
      <w:pPr>
        <w:spacing w:after="0" w:line="187" w:lineRule="exact"/>
        <w:rPr>
          <w:sz w:val="20"/>
          <w:szCs w:val="20"/>
          <w:color w:val="auto"/>
        </w:rPr>
      </w:pPr>
    </w:p>
    <w:p>
      <w:pPr>
        <w:ind w:left="1260" w:right="679"/>
        <w:spacing w:after="0" w:line="267" w:lineRule="auto"/>
        <w:rPr>
          <w:sz w:val="20"/>
          <w:szCs w:val="20"/>
          <w:color w:val="auto"/>
        </w:rPr>
      </w:pPr>
      <w:r>
        <w:rPr>
          <w:rFonts w:ascii="Arial" w:cs="Arial" w:eastAsia="Arial" w:hAnsi="Arial"/>
          <w:sz w:val="17"/>
          <w:szCs w:val="17"/>
          <w:color w:val="auto"/>
        </w:rPr>
        <w:t>From January 1, 2016 until the filing of our registration statement on Form S-8 (File No. 3333-235241) on November 25, 2019, we granted stock options to employees, officers, directors and consultants covering an aggregate of 375,658 shares of our common stock, having exercise prices of $5.93 and $10.62 per share, in connection with services provided to us by such parties and we issued an aggregate of 5,738 shares of our common stock to employees, officers, directors and consultants upon their exercise of stock options, for aggregate cash consideration of approximately $32,847.</w:t>
      </w:r>
    </w:p>
    <w:p>
      <w:pPr>
        <w:spacing w:after="0" w:line="126" w:lineRule="exact"/>
        <w:rPr>
          <w:sz w:val="20"/>
          <w:szCs w:val="20"/>
          <w:color w:val="auto"/>
        </w:rPr>
      </w:pPr>
    </w:p>
    <w:p>
      <w:pPr>
        <w:ind w:left="1260" w:right="679"/>
        <w:spacing w:after="0" w:line="266" w:lineRule="auto"/>
        <w:rPr>
          <w:sz w:val="20"/>
          <w:szCs w:val="20"/>
          <w:color w:val="auto"/>
        </w:rPr>
      </w:pPr>
      <w:r>
        <w:rPr>
          <w:rFonts w:ascii="Arial" w:cs="Arial" w:eastAsia="Arial" w:hAnsi="Arial"/>
          <w:sz w:val="17"/>
          <w:szCs w:val="17"/>
          <w:color w:val="auto"/>
        </w:rPr>
        <w:t>Unless otherwise stated, the issuances of the above securities were deemed to be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spacing w:after="0" w:line="143" w:lineRule="exact"/>
        <w:rPr>
          <w:sz w:val="20"/>
          <w:szCs w:val="20"/>
          <w:color w:val="auto"/>
        </w:rPr>
      </w:pPr>
    </w:p>
    <w:p>
      <w:pPr>
        <w:ind w:left="1260" w:right="719"/>
        <w:spacing w:after="0" w:line="276"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(a) Exhibits</w:t>
      </w:r>
    </w:p>
    <w:p>
      <w:pPr>
        <w:spacing w:after="0" w:line="324" w:lineRule="exact"/>
        <w:rPr>
          <w:sz w:val="20"/>
          <w:szCs w:val="20"/>
          <w:color w:val="auto"/>
        </w:rPr>
      </w:pPr>
    </w:p>
    <w:tbl>
      <w:tblPr>
        <w:tblLayout w:type="fixed"/>
        <w:tblInd w:w="1260" w:type="dxa"/>
        <w:tblCellMar>
          <w:top w:w="0" w:type="dxa"/>
          <w:left w:w="0" w:type="dxa"/>
          <w:bottom w:w="0" w:type="dxa"/>
          <w:right w:w="0" w:type="dxa"/>
        </w:tblCellMar>
      </w:tblPr>
      <w:tr>
        <w:trPr>
          <w:trHeight w:val="205"/>
        </w:trPr>
        <w:tc>
          <w:tcPr>
            <w:tcW w:w="860" w:type="dxa"/>
            <w:vAlign w:val="bottom"/>
          </w:tcPr>
          <w:p>
            <w:pPr>
              <w:spacing w:after="0"/>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1.1*</w:t>
              </w:r>
            </w:hyperlink>
          </w:p>
        </w:tc>
        <w:tc>
          <w:tcPr>
            <w:tcW w:w="7340" w:type="dxa"/>
            <w:vAlign w:val="bottom"/>
            <w:gridSpan w:val="19"/>
          </w:tcPr>
          <w:p>
            <w:pPr>
              <w:spacing w:after="0"/>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Form of Underwriting Agreement</w:t>
              </w:r>
            </w:hyperlink>
          </w:p>
        </w:tc>
      </w:tr>
      <w:tr>
        <w:trPr>
          <w:trHeight w:val="179"/>
        </w:trPr>
        <w:tc>
          <w:tcPr>
            <w:tcW w:w="860" w:type="dxa"/>
            <w:vAlign w:val="bottom"/>
          </w:tcPr>
          <w:p>
            <w:pPr>
              <w:spacing w:after="0" w:line="180" w:lineRule="exact"/>
              <w:rPr>
                <w:rFonts w:ascii="Arial" w:cs="Arial" w:eastAsia="Arial" w:hAnsi="Arial"/>
                <w:sz w:val="17"/>
                <w:szCs w:val="17"/>
                <w:u w:val="single" w:color="auto"/>
                <w:color w:val="0000EE"/>
              </w:rPr>
            </w:pPr>
            <w:hyperlink r:id="rId134">
              <w:r>
                <w:rPr>
                  <w:rFonts w:ascii="Arial" w:cs="Arial" w:eastAsia="Arial" w:hAnsi="Arial"/>
                  <w:sz w:val="17"/>
                  <w:szCs w:val="17"/>
                  <w:u w:val="single" w:color="auto"/>
                  <w:color w:val="0000EE"/>
                </w:rPr>
                <w:t>3.1</w:t>
              </w:r>
            </w:hyperlink>
          </w:p>
        </w:tc>
        <w:tc>
          <w:tcPr>
            <w:tcW w:w="7180" w:type="dxa"/>
            <w:vAlign w:val="bottom"/>
            <w:tcBorders>
              <w:bottom w:val="single" w:sz="8" w:color="0000EE"/>
            </w:tcBorders>
            <w:gridSpan w:val="15"/>
          </w:tcPr>
          <w:p>
            <w:pPr>
              <w:spacing w:after="0" w:line="180" w:lineRule="exact"/>
              <w:rPr>
                <w:rFonts w:ascii="Arial" w:cs="Arial" w:eastAsia="Arial" w:hAnsi="Arial"/>
                <w:sz w:val="17"/>
                <w:szCs w:val="17"/>
                <w:color w:val="0000EE"/>
              </w:rPr>
            </w:pPr>
            <w:hyperlink r:id="rId134">
              <w:r>
                <w:rPr>
                  <w:rFonts w:ascii="Arial" w:cs="Arial" w:eastAsia="Arial" w:hAnsi="Arial"/>
                  <w:sz w:val="17"/>
                  <w:szCs w:val="17"/>
                  <w:color w:val="0000EE"/>
                </w:rPr>
                <w:t>Fourth Amended and Restated Certificate of Incorporation (incorporated by reference to exhibit</w:t>
              </w:r>
            </w:hyperlink>
          </w:p>
        </w:tc>
        <w:tc>
          <w:tcPr>
            <w:tcW w:w="160" w:type="dxa"/>
            <w:vAlign w:val="bottom"/>
            <w:gridSpan w:val="4"/>
          </w:tcPr>
          <w:p>
            <w:pPr>
              <w:spacing w:after="0"/>
              <w:rPr>
                <w:sz w:val="15"/>
                <w:szCs w:val="15"/>
                <w:color w:val="auto"/>
              </w:rPr>
            </w:pPr>
          </w:p>
        </w:tc>
      </w:tr>
      <w:tr>
        <w:trPr>
          <w:trHeight w:val="233"/>
        </w:trPr>
        <w:tc>
          <w:tcPr>
            <w:tcW w:w="860" w:type="dxa"/>
            <w:vAlign w:val="bottom"/>
          </w:tcPr>
          <w:p>
            <w:pPr>
              <w:spacing w:after="0"/>
              <w:rPr>
                <w:sz w:val="20"/>
                <w:szCs w:val="20"/>
                <w:color w:val="auto"/>
              </w:rPr>
            </w:pPr>
          </w:p>
        </w:tc>
        <w:tc>
          <w:tcPr>
            <w:tcW w:w="7340" w:type="dxa"/>
            <w:vAlign w:val="bottom"/>
            <w:gridSpan w:val="19"/>
          </w:tcPr>
          <w:p>
            <w:pPr>
              <w:spacing w:after="0"/>
              <w:rPr>
                <w:rFonts w:ascii="Arial" w:cs="Arial" w:eastAsia="Arial" w:hAnsi="Arial"/>
                <w:sz w:val="17"/>
                <w:szCs w:val="17"/>
                <w:u w:val="single" w:color="auto"/>
                <w:color w:val="0000EE"/>
              </w:rPr>
            </w:pPr>
            <w:hyperlink r:id="rId134">
              <w:r>
                <w:rPr>
                  <w:rFonts w:ascii="Arial" w:cs="Arial" w:eastAsia="Arial" w:hAnsi="Arial"/>
                  <w:sz w:val="17"/>
                  <w:szCs w:val="17"/>
                  <w:u w:val="single" w:color="auto"/>
                  <w:color w:val="0000EE"/>
                </w:rPr>
                <w:t>3.1 of the Company’s Current Report on Form 8-K filed on November 19, 2019)</w:t>
              </w:r>
            </w:hyperlink>
          </w:p>
        </w:tc>
      </w:tr>
      <w:tr>
        <w:trPr>
          <w:trHeight w:val="207"/>
        </w:trPr>
        <w:tc>
          <w:tcPr>
            <w:tcW w:w="860" w:type="dxa"/>
            <w:vAlign w:val="bottom"/>
          </w:tcPr>
          <w:p>
            <w:pPr>
              <w:spacing w:after="0"/>
              <w:rPr>
                <w:rFonts w:ascii="Arial" w:cs="Arial" w:eastAsia="Arial" w:hAnsi="Arial"/>
                <w:sz w:val="17"/>
                <w:szCs w:val="17"/>
                <w:u w:val="single" w:color="auto"/>
                <w:color w:val="0000EE"/>
              </w:rPr>
            </w:pPr>
            <w:hyperlink r:id="rId135">
              <w:r>
                <w:rPr>
                  <w:rFonts w:ascii="Arial" w:cs="Arial" w:eastAsia="Arial" w:hAnsi="Arial"/>
                  <w:sz w:val="17"/>
                  <w:szCs w:val="17"/>
                  <w:u w:val="single" w:color="auto"/>
                  <w:color w:val="0000EE"/>
                </w:rPr>
                <w:t>3.2</w:t>
              </w:r>
            </w:hyperlink>
          </w:p>
        </w:tc>
        <w:tc>
          <w:tcPr>
            <w:tcW w:w="6560" w:type="dxa"/>
            <w:vAlign w:val="bottom"/>
            <w:tcBorders>
              <w:bottom w:val="single" w:sz="8" w:color="0000EE"/>
            </w:tcBorders>
            <w:gridSpan w:val="9"/>
          </w:tcPr>
          <w:p>
            <w:pPr>
              <w:spacing w:after="0"/>
              <w:rPr>
                <w:rFonts w:ascii="Arial" w:cs="Arial" w:eastAsia="Arial" w:hAnsi="Arial"/>
                <w:sz w:val="17"/>
                <w:szCs w:val="17"/>
                <w:color w:val="0000EE"/>
              </w:rPr>
            </w:pPr>
            <w:hyperlink r:id="rId135">
              <w:r>
                <w:rPr>
                  <w:rFonts w:ascii="Arial" w:cs="Arial" w:eastAsia="Arial" w:hAnsi="Arial"/>
                  <w:sz w:val="17"/>
                  <w:szCs w:val="17"/>
                  <w:color w:val="0000EE"/>
                </w:rPr>
                <w:t>Second Amended and Restated Bylaws (incorporated by reference to exhibit 3.2 of the</w:t>
              </w:r>
            </w:hyperlink>
          </w:p>
        </w:tc>
        <w:tc>
          <w:tcPr>
            <w:tcW w:w="780" w:type="dxa"/>
            <w:vAlign w:val="bottom"/>
            <w:gridSpan w:val="10"/>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240" w:type="dxa"/>
            <w:vAlign w:val="bottom"/>
            <w:tcBorders>
              <w:bottom w:val="single" w:sz="8" w:color="0000EE"/>
            </w:tcBorders>
            <w:gridSpan w:val="6"/>
          </w:tcPr>
          <w:p>
            <w:pPr>
              <w:spacing w:after="0"/>
              <w:rPr>
                <w:rFonts w:ascii="Arial" w:cs="Arial" w:eastAsia="Arial" w:hAnsi="Arial"/>
                <w:sz w:val="17"/>
                <w:szCs w:val="17"/>
                <w:color w:val="0000EE"/>
              </w:rPr>
            </w:pPr>
            <w:hyperlink r:id="rId135">
              <w:r>
                <w:rPr>
                  <w:rFonts w:ascii="Arial" w:cs="Arial" w:eastAsia="Arial" w:hAnsi="Arial"/>
                  <w:sz w:val="17"/>
                  <w:szCs w:val="17"/>
                  <w:color w:val="0000EE"/>
                </w:rPr>
                <w:t>Company’s Current Report on Form 8-K filed on November 19, 2019)</w:t>
              </w:r>
            </w:hyperlink>
          </w:p>
        </w:tc>
        <w:tc>
          <w:tcPr>
            <w:tcW w:w="2100" w:type="dxa"/>
            <w:vAlign w:val="bottom"/>
            <w:gridSpan w:val="13"/>
          </w:tcPr>
          <w:p>
            <w:pPr>
              <w:spacing w:after="0"/>
              <w:rPr>
                <w:sz w:val="17"/>
                <w:szCs w:val="17"/>
                <w:color w:val="auto"/>
              </w:rPr>
            </w:pPr>
          </w:p>
        </w:tc>
      </w:tr>
      <w:tr>
        <w:trPr>
          <w:trHeight w:val="223"/>
        </w:trPr>
        <w:tc>
          <w:tcPr>
            <w:tcW w:w="860" w:type="dxa"/>
            <w:vAlign w:val="bottom"/>
          </w:tcPr>
          <w:p>
            <w:pPr>
              <w:spacing w:after="0"/>
              <w:rPr>
                <w:rFonts w:ascii="Arial" w:cs="Arial" w:eastAsia="Arial" w:hAnsi="Arial"/>
                <w:sz w:val="17"/>
                <w:szCs w:val="17"/>
                <w:u w:val="single" w:color="auto"/>
                <w:color w:val="0000EE"/>
              </w:rPr>
            </w:pPr>
            <w:hyperlink r:id="rId136">
              <w:r>
                <w:rPr>
                  <w:rFonts w:ascii="Arial" w:cs="Arial" w:eastAsia="Arial" w:hAnsi="Arial"/>
                  <w:sz w:val="17"/>
                  <w:szCs w:val="17"/>
                  <w:u w:val="single" w:color="auto"/>
                  <w:color w:val="0000EE"/>
                </w:rPr>
                <w:t>4.1</w:t>
              </w:r>
            </w:hyperlink>
          </w:p>
        </w:tc>
        <w:tc>
          <w:tcPr>
            <w:tcW w:w="7340" w:type="dxa"/>
            <w:vAlign w:val="bottom"/>
            <w:gridSpan w:val="19"/>
          </w:tcPr>
          <w:p>
            <w:pPr>
              <w:spacing w:after="0"/>
              <w:rPr>
                <w:rFonts w:ascii="Arial" w:cs="Arial" w:eastAsia="Arial" w:hAnsi="Arial"/>
                <w:sz w:val="17"/>
                <w:szCs w:val="17"/>
                <w:color w:val="0000EE"/>
              </w:rPr>
            </w:pPr>
            <w:hyperlink r:id="rId136">
              <w:r>
                <w:rPr>
                  <w:rFonts w:ascii="Arial" w:cs="Arial" w:eastAsia="Arial" w:hAnsi="Arial"/>
                  <w:sz w:val="17"/>
                  <w:szCs w:val="17"/>
                  <w:color w:val="0000EE"/>
                </w:rPr>
                <w:t>Specimen Common Stock Certificate of the Company (incorporated by reference to exhibit 4.1 to</w:t>
              </w:r>
            </w:hyperlink>
          </w:p>
        </w:tc>
      </w:tr>
      <w:tr>
        <w:trPr>
          <w:trHeight w:val="196"/>
        </w:trPr>
        <w:tc>
          <w:tcPr>
            <w:tcW w:w="860" w:type="dxa"/>
            <w:vAlign w:val="bottom"/>
          </w:tcPr>
          <w:p>
            <w:pPr>
              <w:spacing w:after="0"/>
              <w:rPr>
                <w:sz w:val="17"/>
                <w:szCs w:val="17"/>
                <w:color w:val="auto"/>
              </w:rPr>
            </w:pPr>
          </w:p>
        </w:tc>
        <w:tc>
          <w:tcPr>
            <w:tcW w:w="7300" w:type="dxa"/>
            <w:vAlign w:val="bottom"/>
            <w:tcBorders>
              <w:top w:val="single" w:sz="8" w:color="0000EE"/>
            </w:tcBorders>
            <w:gridSpan w:val="18"/>
          </w:tcPr>
          <w:p>
            <w:pPr>
              <w:spacing w:after="0"/>
              <w:rPr>
                <w:rFonts w:ascii="Arial" w:cs="Arial" w:eastAsia="Arial" w:hAnsi="Arial"/>
                <w:sz w:val="17"/>
                <w:szCs w:val="17"/>
                <w:color w:val="0000EE"/>
              </w:rPr>
            </w:pPr>
            <w:hyperlink r:id="rId136">
              <w:r>
                <w:rPr>
                  <w:rFonts w:ascii="Arial" w:cs="Arial" w:eastAsia="Arial" w:hAnsi="Arial"/>
                  <w:sz w:val="17"/>
                  <w:szCs w:val="17"/>
                  <w:color w:val="0000EE"/>
                </w:rPr>
                <w:t>the Company’s Registration Statement on Form S-1 (File No. 333-234217), dated November 7,</w:t>
              </w:r>
            </w:hyperlink>
          </w:p>
        </w:tc>
        <w:tc>
          <w:tcPr>
            <w:tcW w:w="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rPr>
                <w:rFonts w:ascii="Arial" w:cs="Arial" w:eastAsia="Arial" w:hAnsi="Arial"/>
                <w:sz w:val="17"/>
                <w:szCs w:val="17"/>
                <w:color w:val="0000EE"/>
                <w:w w:val="96"/>
              </w:rPr>
            </w:pPr>
            <w:hyperlink r:id="rId136">
              <w:r>
                <w:rPr>
                  <w:rFonts w:ascii="Arial" w:cs="Arial" w:eastAsia="Arial" w:hAnsi="Arial"/>
                  <w:sz w:val="17"/>
                  <w:szCs w:val="17"/>
                  <w:color w:val="0000EE"/>
                  <w:w w:val="96"/>
                </w:rPr>
                <w:t>2019)</w:t>
              </w:r>
            </w:hyperlink>
          </w:p>
        </w:tc>
        <w:tc>
          <w:tcPr>
            <w:tcW w:w="10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860" w:type="dxa"/>
            <w:vAlign w:val="bottom"/>
          </w:tcPr>
          <w:p>
            <w:pPr>
              <w:spacing w:after="0"/>
              <w:rPr>
                <w:rFonts w:ascii="Arial" w:cs="Arial" w:eastAsia="Arial" w:hAnsi="Arial"/>
                <w:sz w:val="17"/>
                <w:szCs w:val="17"/>
                <w:u w:val="single" w:color="auto"/>
                <w:color w:val="0000EE"/>
              </w:rPr>
            </w:pPr>
            <w:hyperlink r:id="rId137">
              <w:r>
                <w:rPr>
                  <w:rFonts w:ascii="Arial" w:cs="Arial" w:eastAsia="Arial" w:hAnsi="Arial"/>
                  <w:sz w:val="17"/>
                  <w:szCs w:val="17"/>
                  <w:u w:val="single" w:color="auto"/>
                  <w:color w:val="0000EE"/>
                </w:rPr>
                <w:t>4.2</w:t>
              </w:r>
            </w:hyperlink>
          </w:p>
        </w:tc>
        <w:tc>
          <w:tcPr>
            <w:tcW w:w="7260" w:type="dxa"/>
            <w:vAlign w:val="bottom"/>
            <w:tcBorders>
              <w:bottom w:val="single" w:sz="8" w:color="0000EE"/>
            </w:tcBorders>
            <w:gridSpan w:val="16"/>
          </w:tcPr>
          <w:p>
            <w:pPr>
              <w:spacing w:after="0"/>
              <w:rPr>
                <w:rFonts w:ascii="Arial" w:cs="Arial" w:eastAsia="Arial" w:hAnsi="Arial"/>
                <w:sz w:val="17"/>
                <w:szCs w:val="17"/>
                <w:color w:val="0000EE"/>
              </w:rPr>
            </w:pPr>
            <w:hyperlink r:id="rId137">
              <w:r>
                <w:rPr>
                  <w:rFonts w:ascii="Arial" w:cs="Arial" w:eastAsia="Arial" w:hAnsi="Arial"/>
                  <w:sz w:val="17"/>
                  <w:szCs w:val="17"/>
                  <w:color w:val="0000EE"/>
                </w:rPr>
                <w:t>Amended and Restated Investors’ Rights Agreement (incorporated by reference to exhibit 4.2 to</w:t>
              </w:r>
            </w:hyperlink>
          </w:p>
        </w:tc>
        <w:tc>
          <w:tcPr>
            <w:tcW w:w="80" w:type="dxa"/>
            <w:vAlign w:val="bottom"/>
            <w:gridSpan w:val="3"/>
          </w:tcPr>
          <w:p>
            <w:pPr>
              <w:spacing w:after="0"/>
              <w:rPr>
                <w:sz w:val="19"/>
                <w:szCs w:val="19"/>
                <w:color w:val="auto"/>
              </w:rPr>
            </w:pPr>
          </w:p>
        </w:tc>
      </w:tr>
      <w:tr>
        <w:trPr>
          <w:trHeight w:val="196"/>
        </w:trPr>
        <w:tc>
          <w:tcPr>
            <w:tcW w:w="860" w:type="dxa"/>
            <w:vAlign w:val="bottom"/>
          </w:tcPr>
          <w:p>
            <w:pPr>
              <w:spacing w:after="0"/>
              <w:rPr>
                <w:sz w:val="17"/>
                <w:szCs w:val="17"/>
                <w:color w:val="auto"/>
              </w:rPr>
            </w:pPr>
          </w:p>
        </w:tc>
        <w:tc>
          <w:tcPr>
            <w:tcW w:w="7340" w:type="dxa"/>
            <w:vAlign w:val="bottom"/>
            <w:gridSpan w:val="19"/>
          </w:tcPr>
          <w:p>
            <w:pPr>
              <w:spacing w:after="0"/>
              <w:rPr>
                <w:rFonts w:ascii="Arial" w:cs="Arial" w:eastAsia="Arial" w:hAnsi="Arial"/>
                <w:sz w:val="17"/>
                <w:szCs w:val="17"/>
                <w:color w:val="0000EE"/>
              </w:rPr>
            </w:pPr>
            <w:hyperlink r:id="rId137">
              <w:r>
                <w:rPr>
                  <w:rFonts w:ascii="Arial" w:cs="Arial" w:eastAsia="Arial" w:hAnsi="Arial"/>
                  <w:sz w:val="17"/>
                  <w:szCs w:val="17"/>
                  <w:color w:val="0000EE"/>
                </w:rPr>
                <w:t>the Company’s Registration Statement on Form S-1 (File No. 333-234217), dated November 7,</w:t>
              </w:r>
            </w:hyperlink>
          </w:p>
        </w:tc>
      </w:tr>
      <w:tr>
        <w:trPr>
          <w:trHeight w:val="196"/>
        </w:trPr>
        <w:tc>
          <w:tcPr>
            <w:tcW w:w="86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rPr>
                <w:rFonts w:ascii="Arial" w:cs="Arial" w:eastAsia="Arial" w:hAnsi="Arial"/>
                <w:sz w:val="17"/>
                <w:szCs w:val="17"/>
                <w:color w:val="0000EE"/>
                <w:w w:val="96"/>
              </w:rPr>
            </w:pPr>
            <w:hyperlink r:id="rId137">
              <w:r>
                <w:rPr>
                  <w:rFonts w:ascii="Arial" w:cs="Arial" w:eastAsia="Arial" w:hAnsi="Arial"/>
                  <w:sz w:val="17"/>
                  <w:szCs w:val="17"/>
                  <w:color w:val="0000EE"/>
                  <w:w w:val="96"/>
                </w:rPr>
                <w:t>2019)</w:t>
              </w:r>
            </w:hyperlink>
          </w:p>
        </w:tc>
        <w:tc>
          <w:tcPr>
            <w:tcW w:w="10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860" w:type="dxa"/>
            <w:vAlign w:val="bottom"/>
          </w:tcPr>
          <w:p>
            <w:pPr>
              <w:spacing w:after="0"/>
              <w:rPr>
                <w:rFonts w:ascii="Arial" w:cs="Arial" w:eastAsia="Arial" w:hAnsi="Arial"/>
                <w:sz w:val="17"/>
                <w:szCs w:val="17"/>
                <w:u w:val="single" w:color="auto"/>
                <w:color w:val="0000EE"/>
              </w:rPr>
            </w:pPr>
            <w:hyperlink r:id="rId138">
              <w:r>
                <w:rPr>
                  <w:rFonts w:ascii="Arial" w:cs="Arial" w:eastAsia="Arial" w:hAnsi="Arial"/>
                  <w:sz w:val="17"/>
                  <w:szCs w:val="17"/>
                  <w:u w:val="single" w:color="auto"/>
                  <w:color w:val="0000EE"/>
                </w:rPr>
                <w:t>4.3</w:t>
              </w:r>
            </w:hyperlink>
          </w:p>
        </w:tc>
        <w:tc>
          <w:tcPr>
            <w:tcW w:w="6480" w:type="dxa"/>
            <w:vAlign w:val="bottom"/>
            <w:tcBorders>
              <w:bottom w:val="single" w:sz="8" w:color="0000EE"/>
            </w:tcBorders>
            <w:gridSpan w:val="8"/>
          </w:tcPr>
          <w:p>
            <w:pPr>
              <w:spacing w:after="0"/>
              <w:rPr>
                <w:rFonts w:ascii="Arial" w:cs="Arial" w:eastAsia="Arial" w:hAnsi="Arial"/>
                <w:sz w:val="17"/>
                <w:szCs w:val="17"/>
                <w:color w:val="0000EE"/>
              </w:rPr>
            </w:pPr>
            <w:hyperlink r:id="rId138">
              <w:r>
                <w:rPr>
                  <w:rFonts w:ascii="Arial" w:cs="Arial" w:eastAsia="Arial" w:hAnsi="Arial"/>
                  <w:sz w:val="17"/>
                  <w:szCs w:val="17"/>
                  <w:color w:val="0000EE"/>
                </w:rPr>
                <w:t>First Amendment and Joinder to Amended and Restated Investors’ Rights Agreement</w:t>
              </w:r>
            </w:hyperlink>
          </w:p>
        </w:tc>
        <w:tc>
          <w:tcPr>
            <w:tcW w:w="860" w:type="dxa"/>
            <w:vAlign w:val="bottom"/>
            <w:gridSpan w:val="11"/>
          </w:tcPr>
          <w:p>
            <w:pPr>
              <w:spacing w:after="0"/>
              <w:rPr>
                <w:sz w:val="19"/>
                <w:szCs w:val="19"/>
                <w:color w:val="auto"/>
              </w:rPr>
            </w:pPr>
          </w:p>
        </w:tc>
      </w:tr>
      <w:tr>
        <w:trPr>
          <w:trHeight w:val="196"/>
        </w:trPr>
        <w:tc>
          <w:tcPr>
            <w:tcW w:w="860" w:type="dxa"/>
            <w:vAlign w:val="bottom"/>
          </w:tcPr>
          <w:p>
            <w:pPr>
              <w:spacing w:after="0"/>
              <w:rPr>
                <w:sz w:val="17"/>
                <w:szCs w:val="17"/>
                <w:color w:val="auto"/>
              </w:rPr>
            </w:pPr>
          </w:p>
        </w:tc>
        <w:tc>
          <w:tcPr>
            <w:tcW w:w="7340" w:type="dxa"/>
            <w:vAlign w:val="bottom"/>
            <w:gridSpan w:val="19"/>
          </w:tcPr>
          <w:p>
            <w:pPr>
              <w:spacing w:after="0"/>
              <w:rPr>
                <w:rFonts w:ascii="Arial" w:cs="Arial" w:eastAsia="Arial" w:hAnsi="Arial"/>
                <w:sz w:val="17"/>
                <w:szCs w:val="17"/>
                <w:color w:val="0000EE"/>
              </w:rPr>
            </w:pPr>
            <w:hyperlink r:id="rId138">
              <w:r>
                <w:rPr>
                  <w:rFonts w:ascii="Arial" w:cs="Arial" w:eastAsia="Arial" w:hAnsi="Arial"/>
                  <w:sz w:val="17"/>
                  <w:szCs w:val="17"/>
                  <w:color w:val="0000EE"/>
                </w:rPr>
                <w:t>(incorporated by reference to exhibit 4.3 to the Company’s Registration Statement on Form S-1</w:t>
              </w:r>
            </w:hyperlink>
          </w:p>
        </w:tc>
      </w:tr>
      <w:tr>
        <w:trPr>
          <w:trHeight w:val="196"/>
        </w:trPr>
        <w:tc>
          <w:tcPr>
            <w:tcW w:w="860" w:type="dxa"/>
            <w:vAlign w:val="bottom"/>
          </w:tcPr>
          <w:p>
            <w:pPr>
              <w:spacing w:after="0"/>
              <w:rPr>
                <w:sz w:val="17"/>
                <w:szCs w:val="17"/>
                <w:color w:val="auto"/>
              </w:rPr>
            </w:pPr>
          </w:p>
        </w:tc>
        <w:tc>
          <w:tcPr>
            <w:tcW w:w="7180" w:type="dxa"/>
            <w:vAlign w:val="bottom"/>
            <w:tcBorders>
              <w:top w:val="single" w:sz="8" w:color="0000EE"/>
            </w:tcBorders>
            <w:gridSpan w:val="15"/>
          </w:tcPr>
          <w:p>
            <w:pPr>
              <w:spacing w:after="0"/>
              <w:rPr>
                <w:rFonts w:ascii="Arial" w:cs="Arial" w:eastAsia="Arial" w:hAnsi="Arial"/>
                <w:sz w:val="17"/>
                <w:szCs w:val="17"/>
                <w:color w:val="0000EE"/>
              </w:rPr>
            </w:pPr>
            <w:hyperlink r:id="rId138">
              <w:r>
                <w:rPr>
                  <w:rFonts w:ascii="Arial" w:cs="Arial" w:eastAsia="Arial" w:hAnsi="Arial"/>
                  <w:sz w:val="17"/>
                  <w:szCs w:val="17"/>
                  <w:color w:val="0000EE"/>
                </w:rPr>
                <w:t>(File No. 333-234217), dated November 7, 2019)</w:t>
              </w:r>
            </w:hyperlink>
          </w:p>
        </w:tc>
        <w:tc>
          <w:tcPr>
            <w:tcW w:w="160" w:type="dxa"/>
            <w:vAlign w:val="bottom"/>
            <w:gridSpan w:val="4"/>
          </w:tcPr>
          <w:p>
            <w:pPr>
              <w:spacing w:after="0"/>
              <w:rPr>
                <w:sz w:val="17"/>
                <w:szCs w:val="17"/>
                <w:color w:val="auto"/>
              </w:rPr>
            </w:pPr>
          </w:p>
        </w:tc>
      </w:tr>
      <w:tr>
        <w:trPr>
          <w:trHeight w:val="259"/>
        </w:trPr>
        <w:tc>
          <w:tcPr>
            <w:tcW w:w="860" w:type="dxa"/>
            <w:vAlign w:val="bottom"/>
          </w:tcPr>
          <w:p>
            <w:pPr>
              <w:spacing w:after="0"/>
              <w:rPr>
                <w:rFonts w:ascii="Arial" w:cs="Arial" w:eastAsia="Arial" w:hAnsi="Arial"/>
                <w:sz w:val="17"/>
                <w:szCs w:val="17"/>
                <w:u w:val="single" w:color="auto"/>
                <w:color w:val="0000EE"/>
              </w:rPr>
            </w:pPr>
            <w:hyperlink w:anchor="page107">
              <w:r>
                <w:rPr>
                  <w:rFonts w:ascii="Arial" w:cs="Arial" w:eastAsia="Arial" w:hAnsi="Arial"/>
                  <w:sz w:val="17"/>
                  <w:szCs w:val="17"/>
                  <w:u w:val="single" w:color="auto"/>
                  <w:color w:val="0000EE"/>
                </w:rPr>
                <w:t>5.1*</w:t>
              </w:r>
            </w:hyperlink>
          </w:p>
        </w:tc>
        <w:tc>
          <w:tcPr>
            <w:tcW w:w="3700" w:type="dxa"/>
            <w:vAlign w:val="bottom"/>
            <w:tcBorders>
              <w:top w:val="single" w:sz="8" w:color="0000EE"/>
            </w:tcBorders>
            <w:gridSpan w:val="4"/>
          </w:tcPr>
          <w:p>
            <w:pPr>
              <w:spacing w:after="0"/>
              <w:rPr>
                <w:rFonts w:ascii="Arial" w:cs="Arial" w:eastAsia="Arial" w:hAnsi="Arial"/>
                <w:sz w:val="17"/>
                <w:szCs w:val="17"/>
                <w:u w:val="single" w:color="auto"/>
                <w:color w:val="0000EE"/>
              </w:rPr>
            </w:pPr>
            <w:hyperlink w:anchor="page107">
              <w:r>
                <w:rPr>
                  <w:rFonts w:ascii="Arial" w:cs="Arial" w:eastAsia="Arial" w:hAnsi="Arial"/>
                  <w:sz w:val="17"/>
                  <w:szCs w:val="17"/>
                  <w:u w:val="single" w:color="auto"/>
                  <w:color w:val="0000EE"/>
                </w:rPr>
                <w:t>Opinion of Pepper Hamilton LLP</w:t>
              </w:r>
            </w:hyperlink>
          </w:p>
        </w:tc>
        <w:tc>
          <w:tcPr>
            <w:tcW w:w="3640" w:type="dxa"/>
            <w:vAlign w:val="bottom"/>
            <w:gridSpan w:val="15"/>
          </w:tcPr>
          <w:p>
            <w:pPr>
              <w:spacing w:after="0"/>
              <w:rPr>
                <w:sz w:val="22"/>
                <w:szCs w:val="22"/>
                <w:color w:val="auto"/>
              </w:rPr>
            </w:pPr>
          </w:p>
        </w:tc>
      </w:tr>
      <w:tr>
        <w:trPr>
          <w:trHeight w:val="193"/>
        </w:trPr>
        <w:tc>
          <w:tcPr>
            <w:tcW w:w="860" w:type="dxa"/>
            <w:vAlign w:val="bottom"/>
          </w:tcPr>
          <w:p>
            <w:pPr>
              <w:spacing w:after="0" w:line="193" w:lineRule="exact"/>
              <w:rPr>
                <w:rFonts w:ascii="Arial" w:cs="Arial" w:eastAsia="Arial" w:hAnsi="Arial"/>
                <w:sz w:val="17"/>
                <w:szCs w:val="17"/>
                <w:u w:val="single" w:color="auto"/>
                <w:color w:val="0000EE"/>
              </w:rPr>
            </w:pPr>
            <w:hyperlink r:id="rId139">
              <w:r>
                <w:rPr>
                  <w:rFonts w:ascii="Arial" w:cs="Arial" w:eastAsia="Arial" w:hAnsi="Arial"/>
                  <w:sz w:val="17"/>
                  <w:szCs w:val="17"/>
                  <w:u w:val="single" w:color="auto"/>
                  <w:color w:val="0000EE"/>
                </w:rPr>
                <w:t>10.1</w:t>
              </w:r>
            </w:hyperlink>
          </w:p>
        </w:tc>
        <w:tc>
          <w:tcPr>
            <w:tcW w:w="7340" w:type="dxa"/>
            <w:vAlign w:val="bottom"/>
            <w:tcBorders>
              <w:bottom w:val="single" w:sz="8" w:color="0000EE"/>
            </w:tcBorders>
            <w:gridSpan w:val="19"/>
          </w:tcPr>
          <w:p>
            <w:pPr>
              <w:spacing w:after="0" w:line="193" w:lineRule="exact"/>
              <w:rPr>
                <w:rFonts w:ascii="Arial" w:cs="Arial" w:eastAsia="Arial" w:hAnsi="Arial"/>
                <w:sz w:val="17"/>
                <w:szCs w:val="17"/>
                <w:color w:val="0000EE"/>
              </w:rPr>
            </w:pPr>
            <w:hyperlink r:id="rId139">
              <w:r>
                <w:rPr>
                  <w:rFonts w:ascii="Arial" w:cs="Arial" w:eastAsia="Arial" w:hAnsi="Arial"/>
                  <w:sz w:val="17"/>
                  <w:szCs w:val="17"/>
                  <w:color w:val="0000EE"/>
                </w:rPr>
                <w:t>Form of Indemnification Agreement by and between the Company and its individual directors and</w:t>
              </w:r>
            </w:hyperlink>
          </w:p>
        </w:tc>
      </w:tr>
      <w:tr>
        <w:trPr>
          <w:trHeight w:val="196"/>
        </w:trPr>
        <w:tc>
          <w:tcPr>
            <w:tcW w:w="860" w:type="dxa"/>
            <w:vAlign w:val="bottom"/>
          </w:tcPr>
          <w:p>
            <w:pPr>
              <w:spacing w:after="0"/>
              <w:rPr>
                <w:sz w:val="17"/>
                <w:szCs w:val="17"/>
                <w:color w:val="auto"/>
              </w:rPr>
            </w:pPr>
          </w:p>
        </w:tc>
        <w:tc>
          <w:tcPr>
            <w:tcW w:w="7120" w:type="dxa"/>
            <w:vAlign w:val="bottom"/>
            <w:tcBorders>
              <w:bottom w:val="single" w:sz="8" w:color="0000EE"/>
            </w:tcBorders>
            <w:gridSpan w:val="14"/>
          </w:tcPr>
          <w:p>
            <w:pPr>
              <w:spacing w:after="0"/>
              <w:rPr>
                <w:rFonts w:ascii="Arial" w:cs="Arial" w:eastAsia="Arial" w:hAnsi="Arial"/>
                <w:sz w:val="17"/>
                <w:szCs w:val="17"/>
                <w:color w:val="0000EE"/>
              </w:rPr>
            </w:pPr>
            <w:hyperlink r:id="rId139">
              <w:r>
                <w:rPr>
                  <w:rFonts w:ascii="Arial" w:cs="Arial" w:eastAsia="Arial" w:hAnsi="Arial"/>
                  <w:sz w:val="17"/>
                  <w:szCs w:val="17"/>
                  <w:color w:val="0000EE"/>
                </w:rPr>
                <w:t>officers (incorporated by reference to exhibit 10.1 to the Company’s Registration Statement on</w:t>
              </w:r>
            </w:hyperlink>
          </w:p>
        </w:tc>
        <w:tc>
          <w:tcPr>
            <w:tcW w:w="220" w:type="dxa"/>
            <w:vAlign w:val="bottom"/>
            <w:gridSpan w:val="5"/>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4460" w:type="dxa"/>
            <w:vAlign w:val="bottom"/>
            <w:tcBorders>
              <w:bottom w:val="single" w:sz="8" w:color="0000EE"/>
            </w:tcBorders>
            <w:gridSpan w:val="5"/>
          </w:tcPr>
          <w:p>
            <w:pPr>
              <w:spacing w:after="0"/>
              <w:rPr>
                <w:rFonts w:ascii="Arial" w:cs="Arial" w:eastAsia="Arial" w:hAnsi="Arial"/>
                <w:sz w:val="17"/>
                <w:szCs w:val="17"/>
                <w:color w:val="0000EE"/>
              </w:rPr>
            </w:pPr>
            <w:hyperlink r:id="rId139">
              <w:r>
                <w:rPr>
                  <w:rFonts w:ascii="Arial" w:cs="Arial" w:eastAsia="Arial" w:hAnsi="Arial"/>
                  <w:sz w:val="17"/>
                  <w:szCs w:val="17"/>
                  <w:color w:val="0000EE"/>
                </w:rPr>
                <w:t>Form S-1 (File No. 333-234217), dated November 7, 2019)</w:t>
              </w:r>
            </w:hyperlink>
          </w:p>
        </w:tc>
        <w:tc>
          <w:tcPr>
            <w:tcW w:w="2880" w:type="dxa"/>
            <w:vAlign w:val="bottom"/>
            <w:gridSpan w:val="14"/>
          </w:tcPr>
          <w:p>
            <w:pPr>
              <w:spacing w:after="0"/>
              <w:rPr>
                <w:sz w:val="17"/>
                <w:szCs w:val="17"/>
                <w:color w:val="auto"/>
              </w:rPr>
            </w:pPr>
          </w:p>
        </w:tc>
      </w:tr>
      <w:tr>
        <w:trPr>
          <w:trHeight w:val="223"/>
        </w:trPr>
        <w:tc>
          <w:tcPr>
            <w:tcW w:w="860" w:type="dxa"/>
            <w:vAlign w:val="bottom"/>
          </w:tcPr>
          <w:p>
            <w:pPr>
              <w:spacing w:after="0"/>
              <w:rPr>
                <w:rFonts w:ascii="Arial" w:cs="Arial" w:eastAsia="Arial" w:hAnsi="Arial"/>
                <w:sz w:val="17"/>
                <w:szCs w:val="17"/>
                <w:u w:val="single" w:color="auto"/>
                <w:color w:val="0000EE"/>
              </w:rPr>
            </w:pPr>
            <w:hyperlink r:id="rId140">
              <w:r>
                <w:rPr>
                  <w:rFonts w:ascii="Arial" w:cs="Arial" w:eastAsia="Arial" w:hAnsi="Arial"/>
                  <w:sz w:val="17"/>
                  <w:szCs w:val="17"/>
                  <w:u w:val="single" w:color="auto"/>
                  <w:color w:val="0000EE"/>
                </w:rPr>
                <w:t>10.2</w:t>
              </w:r>
            </w:hyperlink>
          </w:p>
        </w:tc>
        <w:tc>
          <w:tcPr>
            <w:tcW w:w="6760" w:type="dxa"/>
            <w:vAlign w:val="bottom"/>
            <w:tcBorders>
              <w:bottom w:val="single" w:sz="8" w:color="0000EE"/>
            </w:tcBorders>
            <w:gridSpan w:val="11"/>
          </w:tcPr>
          <w:p>
            <w:pPr>
              <w:spacing w:after="0"/>
              <w:rPr>
                <w:rFonts w:ascii="Arial" w:cs="Arial" w:eastAsia="Arial" w:hAnsi="Arial"/>
                <w:sz w:val="17"/>
                <w:szCs w:val="17"/>
                <w:color w:val="0000EE"/>
              </w:rPr>
            </w:pPr>
            <w:hyperlink r:id="rId140">
              <w:r>
                <w:rPr>
                  <w:rFonts w:ascii="Arial" w:cs="Arial" w:eastAsia="Arial" w:hAnsi="Arial"/>
                  <w:sz w:val="17"/>
                  <w:szCs w:val="17"/>
                  <w:color w:val="0000EE"/>
                </w:rPr>
                <w:t>TELA Bio, Inc. 2012 Stock Incentive Plan (incorporated by reference to exhibit 10.2 to the</w:t>
              </w:r>
            </w:hyperlink>
          </w:p>
        </w:tc>
        <w:tc>
          <w:tcPr>
            <w:tcW w:w="580" w:type="dxa"/>
            <w:vAlign w:val="bottom"/>
            <w:gridSpan w:val="8"/>
          </w:tcPr>
          <w:p>
            <w:pPr>
              <w:spacing w:after="0"/>
              <w:rPr>
                <w:sz w:val="19"/>
                <w:szCs w:val="19"/>
                <w:color w:val="auto"/>
              </w:rPr>
            </w:pPr>
          </w:p>
        </w:tc>
      </w:tr>
      <w:tr>
        <w:trPr>
          <w:trHeight w:val="196"/>
        </w:trPr>
        <w:tc>
          <w:tcPr>
            <w:tcW w:w="860" w:type="dxa"/>
            <w:vAlign w:val="bottom"/>
          </w:tcPr>
          <w:p>
            <w:pPr>
              <w:spacing w:after="0"/>
              <w:rPr>
                <w:sz w:val="17"/>
                <w:szCs w:val="17"/>
                <w:color w:val="auto"/>
              </w:rPr>
            </w:pPr>
          </w:p>
        </w:tc>
        <w:tc>
          <w:tcPr>
            <w:tcW w:w="7340" w:type="dxa"/>
            <w:vAlign w:val="bottom"/>
            <w:gridSpan w:val="19"/>
          </w:tcPr>
          <w:p>
            <w:pPr>
              <w:spacing w:after="0"/>
              <w:rPr>
                <w:rFonts w:ascii="Arial" w:cs="Arial" w:eastAsia="Arial" w:hAnsi="Arial"/>
                <w:sz w:val="17"/>
                <w:szCs w:val="17"/>
                <w:color w:val="0000EE"/>
              </w:rPr>
            </w:pPr>
            <w:hyperlink r:id="rId140">
              <w:r>
                <w:rPr>
                  <w:rFonts w:ascii="Arial" w:cs="Arial" w:eastAsia="Arial" w:hAnsi="Arial"/>
                  <w:sz w:val="17"/>
                  <w:szCs w:val="17"/>
                  <w:color w:val="0000EE"/>
                </w:rPr>
                <w:t>Company’s Registration Statement on Form S-1 (File No. 333-234217), dated November 7,</w:t>
              </w:r>
            </w:hyperlink>
          </w:p>
        </w:tc>
      </w:tr>
      <w:tr>
        <w:trPr>
          <w:trHeight w:val="196"/>
        </w:trPr>
        <w:tc>
          <w:tcPr>
            <w:tcW w:w="86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rPr>
                <w:rFonts w:ascii="Arial" w:cs="Arial" w:eastAsia="Arial" w:hAnsi="Arial"/>
                <w:sz w:val="17"/>
                <w:szCs w:val="17"/>
                <w:color w:val="0000EE"/>
                <w:w w:val="96"/>
              </w:rPr>
            </w:pPr>
            <w:hyperlink r:id="rId140">
              <w:r>
                <w:rPr>
                  <w:rFonts w:ascii="Arial" w:cs="Arial" w:eastAsia="Arial" w:hAnsi="Arial"/>
                  <w:sz w:val="17"/>
                  <w:szCs w:val="17"/>
                  <w:color w:val="0000EE"/>
                  <w:w w:val="96"/>
                </w:rPr>
                <w:t>2019)</w:t>
              </w:r>
            </w:hyperlink>
          </w:p>
        </w:tc>
        <w:tc>
          <w:tcPr>
            <w:tcW w:w="10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860" w:type="dxa"/>
            <w:vAlign w:val="bottom"/>
          </w:tcPr>
          <w:p>
            <w:pPr>
              <w:spacing w:after="0"/>
              <w:rPr>
                <w:rFonts w:ascii="Arial" w:cs="Arial" w:eastAsia="Arial" w:hAnsi="Arial"/>
                <w:sz w:val="17"/>
                <w:szCs w:val="17"/>
                <w:u w:val="single" w:color="auto"/>
                <w:color w:val="0000EE"/>
              </w:rPr>
            </w:pPr>
            <w:hyperlink r:id="rId141">
              <w:r>
                <w:rPr>
                  <w:rFonts w:ascii="Arial" w:cs="Arial" w:eastAsia="Arial" w:hAnsi="Arial"/>
                  <w:sz w:val="17"/>
                  <w:szCs w:val="17"/>
                  <w:u w:val="single" w:color="auto"/>
                  <w:color w:val="0000EE"/>
                </w:rPr>
                <w:t>10.3</w:t>
              </w:r>
            </w:hyperlink>
          </w:p>
        </w:tc>
        <w:tc>
          <w:tcPr>
            <w:tcW w:w="7340" w:type="dxa"/>
            <w:vAlign w:val="bottom"/>
            <w:tcBorders>
              <w:bottom w:val="single" w:sz="8" w:color="0000EE"/>
            </w:tcBorders>
            <w:gridSpan w:val="19"/>
          </w:tcPr>
          <w:p>
            <w:pPr>
              <w:spacing w:after="0"/>
              <w:rPr>
                <w:rFonts w:ascii="Arial" w:cs="Arial" w:eastAsia="Arial" w:hAnsi="Arial"/>
                <w:sz w:val="17"/>
                <w:szCs w:val="17"/>
                <w:color w:val="0000EE"/>
              </w:rPr>
            </w:pPr>
            <w:hyperlink r:id="rId141">
              <w:r>
                <w:rPr>
                  <w:rFonts w:ascii="Arial" w:cs="Arial" w:eastAsia="Arial" w:hAnsi="Arial"/>
                  <w:sz w:val="17"/>
                  <w:szCs w:val="17"/>
                  <w:color w:val="0000EE"/>
                </w:rPr>
                <w:t>Amendment to the TELA Bio, Inc. 2012 Stock Incentive Plan (incorporated by reference to exhibit</w:t>
              </w:r>
            </w:hyperlink>
          </w:p>
        </w:tc>
      </w:tr>
      <w:tr>
        <w:trPr>
          <w:trHeight w:val="196"/>
        </w:trPr>
        <w:tc>
          <w:tcPr>
            <w:tcW w:w="860" w:type="dxa"/>
            <w:vAlign w:val="bottom"/>
          </w:tcPr>
          <w:p>
            <w:pPr>
              <w:spacing w:after="0"/>
              <w:rPr>
                <w:sz w:val="17"/>
                <w:szCs w:val="17"/>
                <w:color w:val="auto"/>
              </w:rPr>
            </w:pPr>
          </w:p>
        </w:tc>
        <w:tc>
          <w:tcPr>
            <w:tcW w:w="7340" w:type="dxa"/>
            <w:vAlign w:val="bottom"/>
            <w:gridSpan w:val="19"/>
          </w:tcPr>
          <w:p>
            <w:pPr>
              <w:spacing w:after="0"/>
              <w:rPr>
                <w:rFonts w:ascii="Arial" w:cs="Arial" w:eastAsia="Arial" w:hAnsi="Arial"/>
                <w:sz w:val="17"/>
                <w:szCs w:val="17"/>
                <w:color w:val="0000EE"/>
              </w:rPr>
            </w:pPr>
            <w:hyperlink r:id="rId141">
              <w:r>
                <w:rPr>
                  <w:rFonts w:ascii="Arial" w:cs="Arial" w:eastAsia="Arial" w:hAnsi="Arial"/>
                  <w:sz w:val="17"/>
                  <w:szCs w:val="17"/>
                  <w:color w:val="0000EE"/>
                </w:rPr>
                <w:t>10.</w:t>
              </w:r>
              <w:r>
                <w:rPr>
                  <w:rFonts w:ascii="Arial" w:cs="Arial" w:eastAsia="Arial" w:hAnsi="Arial"/>
                  <w:sz w:val="17"/>
                  <w:szCs w:val="17"/>
                  <w:u w:val="single" w:color="auto"/>
                  <w:color w:val="0000EE"/>
                </w:rPr>
                <w:t>3</w:t>
              </w:r>
              <w:r>
                <w:rPr>
                  <w:rFonts w:ascii="Arial" w:cs="Arial" w:eastAsia="Arial" w:hAnsi="Arial"/>
                  <w:sz w:val="17"/>
                  <w:szCs w:val="17"/>
                  <w:color w:val="0000EE"/>
                </w:rPr>
                <w:t xml:space="preserve"> to the Company’s Registration Statement on Form S-1 (File No. 333-234217), dated</w:t>
              </w:r>
            </w:hyperlink>
          </w:p>
        </w:tc>
      </w:tr>
      <w:tr>
        <w:trPr>
          <w:trHeight w:val="196"/>
        </w:trPr>
        <w:tc>
          <w:tcPr>
            <w:tcW w:w="860" w:type="dxa"/>
            <w:vAlign w:val="bottom"/>
          </w:tcPr>
          <w:p>
            <w:pPr>
              <w:spacing w:after="0"/>
              <w:rPr>
                <w:sz w:val="17"/>
                <w:szCs w:val="17"/>
                <w:color w:val="auto"/>
              </w:rPr>
            </w:pPr>
          </w:p>
        </w:tc>
        <w:tc>
          <w:tcPr>
            <w:tcW w:w="6720" w:type="dxa"/>
            <w:vAlign w:val="bottom"/>
            <w:tcBorders>
              <w:top w:val="single" w:sz="8" w:color="0000EE"/>
            </w:tcBorders>
            <w:gridSpan w:val="10"/>
          </w:tcPr>
          <w:p>
            <w:pPr>
              <w:spacing w:after="0"/>
              <w:rPr>
                <w:rFonts w:ascii="Arial" w:cs="Arial" w:eastAsia="Arial" w:hAnsi="Arial"/>
                <w:sz w:val="17"/>
                <w:szCs w:val="17"/>
                <w:color w:val="0000EE"/>
              </w:rPr>
            </w:pPr>
            <w:hyperlink r:id="rId141">
              <w:r>
                <w:rPr>
                  <w:rFonts w:ascii="Arial" w:cs="Arial" w:eastAsia="Arial" w:hAnsi="Arial"/>
                  <w:sz w:val="17"/>
                  <w:szCs w:val="17"/>
                  <w:color w:val="0000EE"/>
                </w:rPr>
                <w:t>November 7, 2019)</w:t>
              </w:r>
            </w:hyperlink>
          </w:p>
        </w:tc>
        <w:tc>
          <w:tcPr>
            <w:tcW w:w="620" w:type="dxa"/>
            <w:vAlign w:val="bottom"/>
            <w:gridSpan w:val="9"/>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860" w:type="dxa"/>
            <w:vAlign w:val="bottom"/>
          </w:tcPr>
          <w:p>
            <w:pPr>
              <w:spacing w:after="0"/>
              <w:rPr>
                <w:rFonts w:ascii="Arial" w:cs="Arial" w:eastAsia="Arial" w:hAnsi="Arial"/>
                <w:sz w:val="17"/>
                <w:szCs w:val="17"/>
                <w:u w:val="single" w:color="auto"/>
                <w:color w:val="0000EE"/>
              </w:rPr>
            </w:pPr>
            <w:hyperlink r:id="rId142">
              <w:r>
                <w:rPr>
                  <w:rFonts w:ascii="Arial" w:cs="Arial" w:eastAsia="Arial" w:hAnsi="Arial"/>
                  <w:sz w:val="17"/>
                  <w:szCs w:val="17"/>
                  <w:u w:val="single" w:color="auto"/>
                  <w:color w:val="0000EE"/>
                </w:rPr>
                <w:t>10.4</w:t>
              </w:r>
            </w:hyperlink>
          </w:p>
        </w:tc>
        <w:tc>
          <w:tcPr>
            <w:tcW w:w="7260" w:type="dxa"/>
            <w:vAlign w:val="bottom"/>
            <w:tcBorders>
              <w:bottom w:val="single" w:sz="8" w:color="0000EE"/>
            </w:tcBorders>
            <w:gridSpan w:val="16"/>
          </w:tcPr>
          <w:p>
            <w:pPr>
              <w:spacing w:after="0"/>
              <w:rPr>
                <w:rFonts w:ascii="Arial" w:cs="Arial" w:eastAsia="Arial" w:hAnsi="Arial"/>
                <w:sz w:val="17"/>
                <w:szCs w:val="17"/>
                <w:color w:val="0000EE"/>
              </w:rPr>
            </w:pPr>
            <w:hyperlink r:id="rId142">
              <w:r>
                <w:rPr>
                  <w:rFonts w:ascii="Arial" w:cs="Arial" w:eastAsia="Arial" w:hAnsi="Arial"/>
                  <w:sz w:val="17"/>
                  <w:szCs w:val="17"/>
                  <w:color w:val="0000EE"/>
                </w:rPr>
                <w:t>Second Amendment to the TELA Bio, Inc. 2012 Stock Incentive Plan (incorporated by reference</w:t>
              </w:r>
            </w:hyperlink>
          </w:p>
        </w:tc>
        <w:tc>
          <w:tcPr>
            <w:tcW w:w="80" w:type="dxa"/>
            <w:vAlign w:val="bottom"/>
            <w:gridSpan w:val="3"/>
          </w:tcPr>
          <w:p>
            <w:pPr>
              <w:spacing w:after="0"/>
              <w:rPr>
                <w:sz w:val="19"/>
                <w:szCs w:val="19"/>
                <w:color w:val="auto"/>
              </w:rPr>
            </w:pPr>
          </w:p>
        </w:tc>
      </w:tr>
      <w:tr>
        <w:trPr>
          <w:trHeight w:val="196"/>
        </w:trPr>
        <w:tc>
          <w:tcPr>
            <w:tcW w:w="860" w:type="dxa"/>
            <w:vAlign w:val="bottom"/>
          </w:tcPr>
          <w:p>
            <w:pPr>
              <w:spacing w:after="0"/>
              <w:rPr>
                <w:sz w:val="17"/>
                <w:szCs w:val="17"/>
                <w:color w:val="auto"/>
              </w:rPr>
            </w:pPr>
          </w:p>
        </w:tc>
        <w:tc>
          <w:tcPr>
            <w:tcW w:w="7340" w:type="dxa"/>
            <w:vAlign w:val="bottom"/>
            <w:gridSpan w:val="19"/>
          </w:tcPr>
          <w:p>
            <w:pPr>
              <w:spacing w:after="0"/>
              <w:rPr>
                <w:rFonts w:ascii="Arial" w:cs="Arial" w:eastAsia="Arial" w:hAnsi="Arial"/>
                <w:sz w:val="17"/>
                <w:szCs w:val="17"/>
                <w:color w:val="0000EE"/>
              </w:rPr>
            </w:pPr>
            <w:hyperlink r:id="rId142">
              <w:r>
                <w:rPr>
                  <w:rFonts w:ascii="Arial" w:cs="Arial" w:eastAsia="Arial" w:hAnsi="Arial"/>
                  <w:sz w:val="17"/>
                  <w:szCs w:val="17"/>
                  <w:color w:val="0000EE"/>
                </w:rPr>
                <w:t>to exhibit 10.4 to the Company’s Registration Statement on Form S-1 (File No. 333-234217),</w:t>
              </w:r>
            </w:hyperlink>
          </w:p>
        </w:tc>
      </w:tr>
      <w:tr>
        <w:trPr>
          <w:trHeight w:val="196"/>
        </w:trPr>
        <w:tc>
          <w:tcPr>
            <w:tcW w:w="860" w:type="dxa"/>
            <w:vAlign w:val="bottom"/>
          </w:tcPr>
          <w:p>
            <w:pPr>
              <w:spacing w:after="0"/>
              <w:rPr>
                <w:sz w:val="17"/>
                <w:szCs w:val="17"/>
                <w:color w:val="auto"/>
              </w:rPr>
            </w:pPr>
          </w:p>
        </w:tc>
        <w:tc>
          <w:tcPr>
            <w:tcW w:w="6980" w:type="dxa"/>
            <w:vAlign w:val="bottom"/>
            <w:tcBorders>
              <w:top w:val="single" w:sz="8" w:color="0000EE"/>
            </w:tcBorders>
            <w:gridSpan w:val="13"/>
          </w:tcPr>
          <w:p>
            <w:pPr>
              <w:spacing w:after="0"/>
              <w:rPr>
                <w:rFonts w:ascii="Arial" w:cs="Arial" w:eastAsia="Arial" w:hAnsi="Arial"/>
                <w:sz w:val="17"/>
                <w:szCs w:val="17"/>
                <w:color w:val="0000EE"/>
              </w:rPr>
            </w:pPr>
            <w:hyperlink r:id="rId142">
              <w:r>
                <w:rPr>
                  <w:rFonts w:ascii="Arial" w:cs="Arial" w:eastAsia="Arial" w:hAnsi="Arial"/>
                  <w:sz w:val="17"/>
                  <w:szCs w:val="17"/>
                  <w:color w:val="0000EE"/>
                </w:rPr>
                <w:t>dated November 7, 2019)</w:t>
              </w:r>
            </w:hyperlink>
          </w:p>
        </w:tc>
        <w:tc>
          <w:tcPr>
            <w:tcW w:w="360" w:type="dxa"/>
            <w:vAlign w:val="bottom"/>
            <w:gridSpan w:val="6"/>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860" w:type="dxa"/>
            <w:vAlign w:val="bottom"/>
          </w:tcPr>
          <w:p>
            <w:pPr>
              <w:spacing w:after="0"/>
              <w:rPr>
                <w:rFonts w:ascii="Arial" w:cs="Arial" w:eastAsia="Arial" w:hAnsi="Arial"/>
                <w:sz w:val="17"/>
                <w:szCs w:val="17"/>
                <w:u w:val="single" w:color="auto"/>
                <w:color w:val="0000EE"/>
              </w:rPr>
            </w:pPr>
            <w:hyperlink r:id="rId143">
              <w:r>
                <w:rPr>
                  <w:rFonts w:ascii="Arial" w:cs="Arial" w:eastAsia="Arial" w:hAnsi="Arial"/>
                  <w:sz w:val="17"/>
                  <w:szCs w:val="17"/>
                  <w:u w:val="single" w:color="auto"/>
                  <w:color w:val="0000EE"/>
                </w:rPr>
                <w:t>10.5</w:t>
              </w:r>
            </w:hyperlink>
          </w:p>
        </w:tc>
        <w:tc>
          <w:tcPr>
            <w:tcW w:w="7340" w:type="dxa"/>
            <w:vAlign w:val="bottom"/>
            <w:gridSpan w:val="19"/>
          </w:tcPr>
          <w:p>
            <w:pPr>
              <w:spacing w:after="0"/>
              <w:rPr>
                <w:rFonts w:ascii="Arial" w:cs="Arial" w:eastAsia="Arial" w:hAnsi="Arial"/>
                <w:sz w:val="17"/>
                <w:szCs w:val="17"/>
                <w:color w:val="0000EE"/>
              </w:rPr>
            </w:pPr>
            <w:hyperlink r:id="rId143">
              <w:r>
                <w:rPr>
                  <w:rFonts w:ascii="Arial" w:cs="Arial" w:eastAsia="Arial" w:hAnsi="Arial"/>
                  <w:sz w:val="17"/>
                  <w:szCs w:val="17"/>
                  <w:color w:val="0000EE"/>
                </w:rPr>
                <w:t>Third Amendment to the TELA Bio, Inc. 2012 Stock Incentive Plan (incorporated by reference to</w:t>
              </w:r>
            </w:hyperlink>
          </w:p>
        </w:tc>
      </w:tr>
      <w:tr>
        <w:trPr>
          <w:trHeight w:val="20"/>
        </w:trPr>
        <w:tc>
          <w:tcPr>
            <w:tcW w:w="860" w:type="dxa"/>
            <w:vAlign w:val="bottom"/>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280" w:type="dxa"/>
            <w:vAlign w:val="bottom"/>
            <w:tcBorders>
              <w:bottom w:val="single" w:sz="8" w:color="0000EE"/>
            </w:tcBorders>
            <w:gridSpan w:val="17"/>
          </w:tcPr>
          <w:p>
            <w:pPr>
              <w:spacing w:after="0"/>
              <w:rPr>
                <w:rFonts w:ascii="Arial" w:cs="Arial" w:eastAsia="Arial" w:hAnsi="Arial"/>
                <w:sz w:val="17"/>
                <w:szCs w:val="17"/>
                <w:color w:val="0000EE"/>
              </w:rPr>
            </w:pPr>
            <w:hyperlink r:id="rId143">
              <w:r>
                <w:rPr>
                  <w:rFonts w:ascii="Arial" w:cs="Arial" w:eastAsia="Arial" w:hAnsi="Arial"/>
                  <w:sz w:val="17"/>
                  <w:szCs w:val="17"/>
                  <w:color w:val="0000EE"/>
                </w:rPr>
                <w:t>exhibit 10.5 to the Company’s Registration Statement on Form S-1 (File No. 333-234217), dated</w:t>
              </w:r>
            </w:hyperlink>
          </w:p>
        </w:tc>
        <w:tc>
          <w:tcPr>
            <w:tcW w:w="6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340" w:type="dxa"/>
            <w:vAlign w:val="bottom"/>
            <w:gridSpan w:val="19"/>
          </w:tcPr>
          <w:p>
            <w:pPr>
              <w:spacing w:after="0"/>
              <w:rPr>
                <w:rFonts w:ascii="Arial" w:cs="Arial" w:eastAsia="Arial" w:hAnsi="Arial"/>
                <w:sz w:val="17"/>
                <w:szCs w:val="17"/>
                <w:color w:val="0000EE"/>
              </w:rPr>
            </w:pPr>
            <w:hyperlink r:id="rId143">
              <w:r>
                <w:rPr>
                  <w:rFonts w:ascii="Arial" w:cs="Arial" w:eastAsia="Arial" w:hAnsi="Arial"/>
                  <w:sz w:val="17"/>
                  <w:szCs w:val="17"/>
                  <w:color w:val="0000EE"/>
                </w:rPr>
                <w:t>November 7, 2019)</w:t>
              </w:r>
            </w:hyperlink>
          </w:p>
        </w:tc>
      </w:tr>
      <w:tr>
        <w:trPr>
          <w:trHeight w:val="20"/>
        </w:trPr>
        <w:tc>
          <w:tcPr>
            <w:tcW w:w="86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860" w:type="dxa"/>
            <w:vAlign w:val="bottom"/>
          </w:tcPr>
          <w:p>
            <w:pPr>
              <w:spacing w:after="0"/>
              <w:rPr>
                <w:rFonts w:ascii="Arial" w:cs="Arial" w:eastAsia="Arial" w:hAnsi="Arial"/>
                <w:sz w:val="17"/>
                <w:szCs w:val="17"/>
                <w:u w:val="single" w:color="auto"/>
                <w:color w:val="0000EE"/>
              </w:rPr>
            </w:pPr>
            <w:hyperlink r:id="rId144">
              <w:r>
                <w:rPr>
                  <w:rFonts w:ascii="Arial" w:cs="Arial" w:eastAsia="Arial" w:hAnsi="Arial"/>
                  <w:sz w:val="17"/>
                  <w:szCs w:val="17"/>
                  <w:u w:val="single" w:color="auto"/>
                  <w:color w:val="0000EE"/>
                </w:rPr>
                <w:t>10.6</w:t>
              </w:r>
            </w:hyperlink>
          </w:p>
        </w:tc>
        <w:tc>
          <w:tcPr>
            <w:tcW w:w="7340" w:type="dxa"/>
            <w:vAlign w:val="bottom"/>
            <w:tcBorders>
              <w:bottom w:val="single" w:sz="8" w:color="0000EE"/>
            </w:tcBorders>
            <w:gridSpan w:val="19"/>
          </w:tcPr>
          <w:p>
            <w:pPr>
              <w:spacing w:after="0"/>
              <w:rPr>
                <w:rFonts w:ascii="Arial" w:cs="Arial" w:eastAsia="Arial" w:hAnsi="Arial"/>
                <w:sz w:val="17"/>
                <w:szCs w:val="17"/>
                <w:color w:val="0000EE"/>
              </w:rPr>
            </w:pPr>
            <w:hyperlink r:id="rId144">
              <w:r>
                <w:rPr>
                  <w:rFonts w:ascii="Arial" w:cs="Arial" w:eastAsia="Arial" w:hAnsi="Arial"/>
                  <w:sz w:val="17"/>
                  <w:szCs w:val="17"/>
                  <w:color w:val="0000EE"/>
                </w:rPr>
                <w:t>Fourth Amendment to the TELA Bio, Inc. 2012 Stock Incentive Plan (incorporated by reference to</w:t>
              </w:r>
            </w:hyperlink>
          </w:p>
        </w:tc>
      </w:tr>
      <w:tr>
        <w:trPr>
          <w:trHeight w:val="196"/>
        </w:trPr>
        <w:tc>
          <w:tcPr>
            <w:tcW w:w="860" w:type="dxa"/>
            <w:vAlign w:val="bottom"/>
          </w:tcPr>
          <w:p>
            <w:pPr>
              <w:spacing w:after="0"/>
              <w:rPr>
                <w:sz w:val="17"/>
                <w:szCs w:val="17"/>
                <w:color w:val="auto"/>
              </w:rPr>
            </w:pPr>
          </w:p>
        </w:tc>
        <w:tc>
          <w:tcPr>
            <w:tcW w:w="7280" w:type="dxa"/>
            <w:vAlign w:val="bottom"/>
            <w:tcBorders>
              <w:bottom w:val="single" w:sz="8" w:color="0000EE"/>
            </w:tcBorders>
            <w:gridSpan w:val="17"/>
          </w:tcPr>
          <w:p>
            <w:pPr>
              <w:spacing w:after="0"/>
              <w:rPr>
                <w:rFonts w:ascii="Arial" w:cs="Arial" w:eastAsia="Arial" w:hAnsi="Arial"/>
                <w:sz w:val="17"/>
                <w:szCs w:val="17"/>
                <w:color w:val="0000EE"/>
              </w:rPr>
            </w:pPr>
            <w:hyperlink r:id="rId144">
              <w:r>
                <w:rPr>
                  <w:rFonts w:ascii="Arial" w:cs="Arial" w:eastAsia="Arial" w:hAnsi="Arial"/>
                  <w:sz w:val="17"/>
                  <w:szCs w:val="17"/>
                  <w:color w:val="0000EE"/>
                </w:rPr>
                <w:t>exhibit 10.6 to the Company’s Registration Statement on Form S-1 (File No. 333-234217), dated</w:t>
              </w:r>
            </w:hyperlink>
          </w:p>
        </w:tc>
        <w:tc>
          <w:tcPr>
            <w:tcW w:w="6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340" w:type="dxa"/>
            <w:vAlign w:val="bottom"/>
            <w:gridSpan w:val="19"/>
          </w:tcPr>
          <w:p>
            <w:pPr>
              <w:spacing w:after="0"/>
              <w:rPr>
                <w:rFonts w:ascii="Arial" w:cs="Arial" w:eastAsia="Arial" w:hAnsi="Arial"/>
                <w:sz w:val="17"/>
                <w:szCs w:val="17"/>
                <w:color w:val="0000EE"/>
              </w:rPr>
            </w:pPr>
            <w:hyperlink r:id="rId144">
              <w:r>
                <w:rPr>
                  <w:rFonts w:ascii="Arial" w:cs="Arial" w:eastAsia="Arial" w:hAnsi="Arial"/>
                  <w:sz w:val="17"/>
                  <w:szCs w:val="17"/>
                  <w:color w:val="0000EE"/>
                </w:rPr>
                <w:t>November 7, 2019)</w:t>
              </w:r>
            </w:hyperlink>
          </w:p>
        </w:tc>
      </w:tr>
      <w:tr>
        <w:trPr>
          <w:trHeight w:val="20"/>
        </w:trPr>
        <w:tc>
          <w:tcPr>
            <w:tcW w:w="86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860" w:type="dxa"/>
            <w:vAlign w:val="bottom"/>
          </w:tcPr>
          <w:p>
            <w:pPr>
              <w:spacing w:after="0"/>
              <w:rPr>
                <w:rFonts w:ascii="Arial" w:cs="Arial" w:eastAsia="Arial" w:hAnsi="Arial"/>
                <w:sz w:val="17"/>
                <w:szCs w:val="17"/>
                <w:u w:val="single" w:color="auto"/>
                <w:color w:val="0000EE"/>
              </w:rPr>
            </w:pPr>
            <w:hyperlink r:id="rId145">
              <w:r>
                <w:rPr>
                  <w:rFonts w:ascii="Arial" w:cs="Arial" w:eastAsia="Arial" w:hAnsi="Arial"/>
                  <w:sz w:val="17"/>
                  <w:szCs w:val="17"/>
                  <w:u w:val="single" w:color="auto"/>
                  <w:color w:val="0000EE"/>
                </w:rPr>
                <w:t>10.7</w:t>
              </w:r>
            </w:hyperlink>
          </w:p>
        </w:tc>
        <w:tc>
          <w:tcPr>
            <w:tcW w:w="7340" w:type="dxa"/>
            <w:vAlign w:val="bottom"/>
            <w:gridSpan w:val="19"/>
          </w:tcPr>
          <w:p>
            <w:pPr>
              <w:spacing w:after="0"/>
              <w:rPr>
                <w:rFonts w:ascii="Arial" w:cs="Arial" w:eastAsia="Arial" w:hAnsi="Arial"/>
                <w:sz w:val="17"/>
                <w:szCs w:val="17"/>
                <w:color w:val="0000EE"/>
              </w:rPr>
            </w:pPr>
            <w:hyperlink r:id="rId145">
              <w:r>
                <w:rPr>
                  <w:rFonts w:ascii="Arial" w:cs="Arial" w:eastAsia="Arial" w:hAnsi="Arial"/>
                  <w:sz w:val="17"/>
                  <w:szCs w:val="17"/>
                  <w:color w:val="0000EE"/>
                </w:rPr>
                <w:t>Fifth Amendment to the TELA Bio, Inc. 2012 Stock Incentive Plan (incorporated by reference to</w:t>
              </w:r>
            </w:hyperlink>
          </w:p>
        </w:tc>
      </w:tr>
      <w:tr>
        <w:trPr>
          <w:trHeight w:val="20"/>
        </w:trPr>
        <w:tc>
          <w:tcPr>
            <w:tcW w:w="860" w:type="dxa"/>
            <w:vAlign w:val="bottom"/>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280" w:type="dxa"/>
            <w:vAlign w:val="bottom"/>
            <w:tcBorders>
              <w:bottom w:val="single" w:sz="8" w:color="0000EE"/>
            </w:tcBorders>
            <w:gridSpan w:val="17"/>
          </w:tcPr>
          <w:p>
            <w:pPr>
              <w:spacing w:after="0"/>
              <w:rPr>
                <w:rFonts w:ascii="Arial" w:cs="Arial" w:eastAsia="Arial" w:hAnsi="Arial"/>
                <w:sz w:val="17"/>
                <w:szCs w:val="17"/>
                <w:color w:val="0000EE"/>
              </w:rPr>
            </w:pPr>
            <w:hyperlink r:id="rId145">
              <w:r>
                <w:rPr>
                  <w:rFonts w:ascii="Arial" w:cs="Arial" w:eastAsia="Arial" w:hAnsi="Arial"/>
                  <w:sz w:val="17"/>
                  <w:szCs w:val="17"/>
                  <w:color w:val="0000EE"/>
                </w:rPr>
                <w:t>exhibit 10.7 to the Company’s Registration Statement on Form S-1 (File No. 333-234217), dated</w:t>
              </w:r>
            </w:hyperlink>
          </w:p>
        </w:tc>
        <w:tc>
          <w:tcPr>
            <w:tcW w:w="6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340" w:type="dxa"/>
            <w:vAlign w:val="bottom"/>
            <w:gridSpan w:val="19"/>
          </w:tcPr>
          <w:p>
            <w:pPr>
              <w:spacing w:after="0"/>
              <w:rPr>
                <w:rFonts w:ascii="Arial" w:cs="Arial" w:eastAsia="Arial" w:hAnsi="Arial"/>
                <w:sz w:val="17"/>
                <w:szCs w:val="17"/>
                <w:color w:val="0000EE"/>
              </w:rPr>
            </w:pPr>
            <w:hyperlink r:id="rId145">
              <w:r>
                <w:rPr>
                  <w:rFonts w:ascii="Arial" w:cs="Arial" w:eastAsia="Arial" w:hAnsi="Arial"/>
                  <w:sz w:val="17"/>
                  <w:szCs w:val="17"/>
                  <w:color w:val="0000EE"/>
                </w:rPr>
                <w:t>November 7, 2019)</w:t>
              </w:r>
            </w:hyperlink>
          </w:p>
        </w:tc>
      </w:tr>
      <w:tr>
        <w:trPr>
          <w:trHeight w:val="20"/>
        </w:trPr>
        <w:tc>
          <w:tcPr>
            <w:tcW w:w="86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860" w:type="dxa"/>
            <w:vAlign w:val="bottom"/>
          </w:tcPr>
          <w:p>
            <w:pPr>
              <w:spacing w:after="0"/>
              <w:rPr>
                <w:rFonts w:ascii="Arial" w:cs="Arial" w:eastAsia="Arial" w:hAnsi="Arial"/>
                <w:sz w:val="17"/>
                <w:szCs w:val="17"/>
                <w:u w:val="single" w:color="auto"/>
                <w:color w:val="0000EE"/>
              </w:rPr>
            </w:pPr>
            <w:hyperlink r:id="rId146">
              <w:r>
                <w:rPr>
                  <w:rFonts w:ascii="Arial" w:cs="Arial" w:eastAsia="Arial" w:hAnsi="Arial"/>
                  <w:sz w:val="17"/>
                  <w:szCs w:val="17"/>
                  <w:u w:val="single" w:color="auto"/>
                  <w:color w:val="0000EE"/>
                </w:rPr>
                <w:t>10.8</w:t>
              </w:r>
            </w:hyperlink>
          </w:p>
        </w:tc>
        <w:tc>
          <w:tcPr>
            <w:tcW w:w="7340" w:type="dxa"/>
            <w:vAlign w:val="bottom"/>
            <w:gridSpan w:val="19"/>
          </w:tcPr>
          <w:p>
            <w:pPr>
              <w:spacing w:after="0"/>
              <w:rPr>
                <w:rFonts w:ascii="Arial" w:cs="Arial" w:eastAsia="Arial" w:hAnsi="Arial"/>
                <w:sz w:val="17"/>
                <w:szCs w:val="17"/>
                <w:color w:val="0000EE"/>
              </w:rPr>
            </w:pPr>
            <w:hyperlink r:id="rId146">
              <w:r>
                <w:rPr>
                  <w:rFonts w:ascii="Arial" w:cs="Arial" w:eastAsia="Arial" w:hAnsi="Arial"/>
                  <w:sz w:val="17"/>
                  <w:szCs w:val="17"/>
                  <w:color w:val="0000EE"/>
                </w:rPr>
                <w:t>Form of Incentive Stock Option Agreement pursuant to the 2012 Stock Incentive Plan</w:t>
              </w:r>
            </w:hyperlink>
          </w:p>
        </w:tc>
      </w:tr>
      <w:tr>
        <w:trPr>
          <w:trHeight w:val="20"/>
        </w:trPr>
        <w:tc>
          <w:tcPr>
            <w:tcW w:w="860" w:type="dxa"/>
            <w:vAlign w:val="bottom"/>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280" w:type="dxa"/>
            <w:vAlign w:val="bottom"/>
            <w:tcBorders>
              <w:bottom w:val="single" w:sz="8" w:color="0000EE"/>
            </w:tcBorders>
            <w:gridSpan w:val="17"/>
          </w:tcPr>
          <w:p>
            <w:pPr>
              <w:spacing w:after="0"/>
              <w:rPr>
                <w:rFonts w:ascii="Arial" w:cs="Arial" w:eastAsia="Arial" w:hAnsi="Arial"/>
                <w:sz w:val="17"/>
                <w:szCs w:val="17"/>
                <w:color w:val="0000EE"/>
              </w:rPr>
            </w:pPr>
            <w:hyperlink r:id="rId146">
              <w:r>
                <w:rPr>
                  <w:rFonts w:ascii="Arial" w:cs="Arial" w:eastAsia="Arial" w:hAnsi="Arial"/>
                  <w:sz w:val="17"/>
                  <w:szCs w:val="17"/>
                  <w:color w:val="0000EE"/>
                </w:rPr>
                <w:t>(incorporated by reference to exhibit 10.8 to the Company’s Registration Statement on Form S-1</w:t>
              </w:r>
            </w:hyperlink>
          </w:p>
        </w:tc>
        <w:tc>
          <w:tcPr>
            <w:tcW w:w="6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340" w:type="dxa"/>
            <w:vAlign w:val="bottom"/>
            <w:gridSpan w:val="19"/>
          </w:tcPr>
          <w:p>
            <w:pPr>
              <w:spacing w:after="0"/>
              <w:rPr>
                <w:rFonts w:ascii="Arial" w:cs="Arial" w:eastAsia="Arial" w:hAnsi="Arial"/>
                <w:sz w:val="17"/>
                <w:szCs w:val="17"/>
                <w:color w:val="0000EE"/>
              </w:rPr>
            </w:pPr>
            <w:hyperlink r:id="rId146">
              <w:r>
                <w:rPr>
                  <w:rFonts w:ascii="Arial" w:cs="Arial" w:eastAsia="Arial" w:hAnsi="Arial"/>
                  <w:sz w:val="17"/>
                  <w:szCs w:val="17"/>
                  <w:color w:val="0000EE"/>
                </w:rPr>
                <w:t>(File No. 333-234217), dated November 7, 2019)</w:t>
              </w:r>
            </w:hyperlink>
          </w:p>
        </w:tc>
      </w:tr>
      <w:tr>
        <w:trPr>
          <w:trHeight w:val="20"/>
        </w:trPr>
        <w:tc>
          <w:tcPr>
            <w:tcW w:w="860" w:type="dxa"/>
            <w:vAlign w:val="bottom"/>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34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860" w:type="dxa"/>
            <w:vAlign w:val="bottom"/>
          </w:tcPr>
          <w:p>
            <w:pPr>
              <w:spacing w:after="0"/>
              <w:rPr>
                <w:rFonts w:ascii="Arial" w:cs="Arial" w:eastAsia="Arial" w:hAnsi="Arial"/>
                <w:sz w:val="17"/>
                <w:szCs w:val="17"/>
                <w:u w:val="single" w:color="auto"/>
                <w:color w:val="0000EE"/>
              </w:rPr>
            </w:pPr>
            <w:hyperlink r:id="rId147">
              <w:r>
                <w:rPr>
                  <w:rFonts w:ascii="Arial" w:cs="Arial" w:eastAsia="Arial" w:hAnsi="Arial"/>
                  <w:sz w:val="17"/>
                  <w:szCs w:val="17"/>
                  <w:u w:val="single" w:color="auto"/>
                  <w:color w:val="0000EE"/>
                </w:rPr>
                <w:t>10.9</w:t>
              </w:r>
            </w:hyperlink>
          </w:p>
        </w:tc>
        <w:tc>
          <w:tcPr>
            <w:tcW w:w="7340" w:type="dxa"/>
            <w:vAlign w:val="bottom"/>
            <w:gridSpan w:val="19"/>
          </w:tcPr>
          <w:p>
            <w:pPr>
              <w:spacing w:after="0"/>
              <w:rPr>
                <w:rFonts w:ascii="Arial" w:cs="Arial" w:eastAsia="Arial" w:hAnsi="Arial"/>
                <w:sz w:val="17"/>
                <w:szCs w:val="17"/>
                <w:color w:val="0000EE"/>
              </w:rPr>
            </w:pPr>
            <w:hyperlink r:id="rId147">
              <w:r>
                <w:rPr>
                  <w:rFonts w:ascii="Arial" w:cs="Arial" w:eastAsia="Arial" w:hAnsi="Arial"/>
                  <w:sz w:val="17"/>
                  <w:szCs w:val="17"/>
                  <w:color w:val="0000EE"/>
                </w:rPr>
                <w:t>Form of Nonstatutory Stock Option Agreement pursuant to 2012 Stock Incentive Plan</w:t>
              </w:r>
            </w:hyperlink>
          </w:p>
        </w:tc>
      </w:tr>
      <w:tr>
        <w:trPr>
          <w:trHeight w:val="20"/>
        </w:trPr>
        <w:tc>
          <w:tcPr>
            <w:tcW w:w="860" w:type="dxa"/>
            <w:vAlign w:val="bottom"/>
          </w:tcPr>
          <w:p>
            <w:pPr>
              <w:spacing w:after="0" w:line="20" w:lineRule="exact"/>
              <w:rPr>
                <w:sz w:val="1"/>
                <w:szCs w:val="1"/>
                <w:color w:val="auto"/>
              </w:rPr>
            </w:pPr>
          </w:p>
        </w:tc>
        <w:tc>
          <w:tcPr>
            <w:tcW w:w="6440" w:type="dxa"/>
            <w:vAlign w:val="bottom"/>
            <w:gridSpan w:val="7"/>
            <w:shd w:val="clear" w:color="auto" w:fill="0000EE"/>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280" w:type="dxa"/>
            <w:vAlign w:val="bottom"/>
            <w:tcBorders>
              <w:bottom w:val="single" w:sz="8" w:color="0000EE"/>
            </w:tcBorders>
            <w:gridSpan w:val="17"/>
          </w:tcPr>
          <w:p>
            <w:pPr>
              <w:spacing w:after="0"/>
              <w:rPr>
                <w:rFonts w:ascii="Arial" w:cs="Arial" w:eastAsia="Arial" w:hAnsi="Arial"/>
                <w:sz w:val="17"/>
                <w:szCs w:val="17"/>
                <w:color w:val="0000EE"/>
              </w:rPr>
            </w:pPr>
            <w:hyperlink r:id="rId147">
              <w:r>
                <w:rPr>
                  <w:rFonts w:ascii="Arial" w:cs="Arial" w:eastAsia="Arial" w:hAnsi="Arial"/>
                  <w:sz w:val="17"/>
                  <w:szCs w:val="17"/>
                  <w:color w:val="0000EE"/>
                </w:rPr>
                <w:t>(incorporated by reference to exhibit 10.9 to the Company’s Registration Statement on Form S-1</w:t>
              </w:r>
            </w:hyperlink>
          </w:p>
        </w:tc>
        <w:tc>
          <w:tcPr>
            <w:tcW w:w="6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340" w:type="dxa"/>
            <w:vAlign w:val="bottom"/>
            <w:gridSpan w:val="19"/>
          </w:tcPr>
          <w:p>
            <w:pPr>
              <w:spacing w:after="0"/>
              <w:rPr>
                <w:rFonts w:ascii="Arial" w:cs="Arial" w:eastAsia="Arial" w:hAnsi="Arial"/>
                <w:sz w:val="17"/>
                <w:szCs w:val="17"/>
                <w:color w:val="0000EE"/>
              </w:rPr>
            </w:pPr>
            <w:hyperlink r:id="rId147">
              <w:r>
                <w:rPr>
                  <w:rFonts w:ascii="Arial" w:cs="Arial" w:eastAsia="Arial" w:hAnsi="Arial"/>
                  <w:sz w:val="17"/>
                  <w:szCs w:val="17"/>
                  <w:color w:val="0000EE"/>
                </w:rPr>
                <w:t>(File No. 333-234217), dated November 7, 2019)</w:t>
              </w:r>
            </w:hyperlink>
          </w:p>
        </w:tc>
      </w:tr>
      <w:tr>
        <w:trPr>
          <w:trHeight w:val="20"/>
        </w:trPr>
        <w:tc>
          <w:tcPr>
            <w:tcW w:w="860" w:type="dxa"/>
            <w:vAlign w:val="bottom"/>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34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860" w:type="dxa"/>
            <w:vAlign w:val="bottom"/>
          </w:tcPr>
          <w:p>
            <w:pPr>
              <w:spacing w:after="0"/>
              <w:rPr>
                <w:rFonts w:ascii="Arial" w:cs="Arial" w:eastAsia="Arial" w:hAnsi="Arial"/>
                <w:sz w:val="17"/>
                <w:szCs w:val="17"/>
                <w:u w:val="single" w:color="auto"/>
                <w:color w:val="0000EE"/>
              </w:rPr>
            </w:pPr>
            <w:hyperlink r:id="rId148">
              <w:r>
                <w:rPr>
                  <w:rFonts w:ascii="Arial" w:cs="Arial" w:eastAsia="Arial" w:hAnsi="Arial"/>
                  <w:sz w:val="17"/>
                  <w:szCs w:val="17"/>
                  <w:u w:val="single" w:color="auto"/>
                  <w:color w:val="0000EE"/>
                </w:rPr>
                <w:t>10.10</w:t>
              </w:r>
            </w:hyperlink>
          </w:p>
        </w:tc>
        <w:tc>
          <w:tcPr>
            <w:tcW w:w="7260" w:type="dxa"/>
            <w:vAlign w:val="bottom"/>
            <w:tcBorders>
              <w:bottom w:val="single" w:sz="8" w:color="0000EE"/>
            </w:tcBorders>
            <w:gridSpan w:val="16"/>
          </w:tcPr>
          <w:p>
            <w:pPr>
              <w:spacing w:after="0"/>
              <w:rPr>
                <w:rFonts w:ascii="Arial" w:cs="Arial" w:eastAsia="Arial" w:hAnsi="Arial"/>
                <w:sz w:val="17"/>
                <w:szCs w:val="17"/>
                <w:color w:val="0000EE"/>
              </w:rPr>
            </w:pPr>
            <w:hyperlink r:id="rId148">
              <w:r>
                <w:rPr>
                  <w:rFonts w:ascii="Arial" w:cs="Arial" w:eastAsia="Arial" w:hAnsi="Arial"/>
                  <w:sz w:val="17"/>
                  <w:szCs w:val="17"/>
                  <w:color w:val="0000EE"/>
                </w:rPr>
                <w:t>TELA Bio, Inc. Amended and Restated 2019 Equity Incentive Plan (incorporated by reference to</w:t>
              </w:r>
            </w:hyperlink>
          </w:p>
        </w:tc>
        <w:tc>
          <w:tcPr>
            <w:tcW w:w="80" w:type="dxa"/>
            <w:vAlign w:val="bottom"/>
            <w:gridSpan w:val="3"/>
          </w:tcPr>
          <w:p>
            <w:pPr>
              <w:spacing w:after="0"/>
              <w:rPr>
                <w:sz w:val="19"/>
                <w:szCs w:val="19"/>
                <w:color w:val="auto"/>
              </w:rPr>
            </w:pPr>
          </w:p>
        </w:tc>
      </w:tr>
      <w:tr>
        <w:trPr>
          <w:trHeight w:val="196"/>
        </w:trPr>
        <w:tc>
          <w:tcPr>
            <w:tcW w:w="860" w:type="dxa"/>
            <w:vAlign w:val="bottom"/>
          </w:tcPr>
          <w:p>
            <w:pPr>
              <w:spacing w:after="0"/>
              <w:rPr>
                <w:sz w:val="17"/>
                <w:szCs w:val="17"/>
                <w:color w:val="auto"/>
              </w:rPr>
            </w:pPr>
          </w:p>
        </w:tc>
        <w:tc>
          <w:tcPr>
            <w:tcW w:w="7340" w:type="dxa"/>
            <w:vAlign w:val="bottom"/>
            <w:gridSpan w:val="19"/>
          </w:tcPr>
          <w:p>
            <w:pPr>
              <w:spacing w:after="0"/>
              <w:rPr>
                <w:rFonts w:ascii="Arial" w:cs="Arial" w:eastAsia="Arial" w:hAnsi="Arial"/>
                <w:sz w:val="17"/>
                <w:szCs w:val="17"/>
                <w:color w:val="0000EE"/>
              </w:rPr>
            </w:pPr>
            <w:hyperlink r:id="rId148">
              <w:r>
                <w:rPr>
                  <w:rFonts w:ascii="Arial" w:cs="Arial" w:eastAsia="Arial" w:hAnsi="Arial"/>
                  <w:sz w:val="17"/>
                  <w:szCs w:val="17"/>
                  <w:color w:val="0000EE"/>
                </w:rPr>
                <w:t>exhibit 10.1 to the Company’s Current Report on Form 8-K (File No. 001-39130), dated June 4,</w:t>
              </w:r>
            </w:hyperlink>
          </w:p>
        </w:tc>
      </w:tr>
      <w:tr>
        <w:trPr>
          <w:trHeight w:val="196"/>
        </w:trPr>
        <w:tc>
          <w:tcPr>
            <w:tcW w:w="86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rPr>
                <w:rFonts w:ascii="Arial" w:cs="Arial" w:eastAsia="Arial" w:hAnsi="Arial"/>
                <w:sz w:val="17"/>
                <w:szCs w:val="17"/>
                <w:color w:val="0000EE"/>
                <w:w w:val="96"/>
              </w:rPr>
            </w:pPr>
            <w:hyperlink r:id="rId148">
              <w:r>
                <w:rPr>
                  <w:rFonts w:ascii="Arial" w:cs="Arial" w:eastAsia="Arial" w:hAnsi="Arial"/>
                  <w:sz w:val="17"/>
                  <w:szCs w:val="17"/>
                  <w:color w:val="0000EE"/>
                  <w:w w:val="96"/>
                </w:rPr>
                <w:t>2020)</w:t>
              </w:r>
            </w:hyperlink>
          </w:p>
        </w:tc>
        <w:tc>
          <w:tcPr>
            <w:tcW w:w="10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2120" w:right="759" w:hanging="863"/>
        <w:spacing w:after="0" w:line="270" w:lineRule="auto"/>
        <w:tabs>
          <w:tab w:leader="none" w:pos="2100" w:val="left"/>
        </w:tabs>
        <w:rPr>
          <w:rFonts w:ascii="Arial" w:cs="Arial" w:eastAsia="Arial" w:hAnsi="Arial"/>
          <w:sz w:val="17"/>
          <w:szCs w:val="17"/>
          <w:u w:val="single" w:color="auto"/>
          <w:color w:val="0000EE"/>
        </w:rPr>
      </w:pPr>
      <w:hyperlink r:id="rId150">
        <w:r>
          <w:rPr>
            <w:rFonts w:ascii="Arial" w:cs="Arial" w:eastAsia="Arial" w:hAnsi="Arial"/>
            <w:sz w:val="17"/>
            <w:szCs w:val="17"/>
            <w:u w:val="single" w:color="auto"/>
            <w:color w:val="0000EE"/>
          </w:rPr>
          <w:t>10.11</w:t>
        </w:r>
      </w:hyperlink>
      <w:r>
        <w:rPr>
          <w:rFonts w:ascii="Arial" w:cs="Arial" w:eastAsia="Arial" w:hAnsi="Arial"/>
          <w:sz w:val="17"/>
          <w:szCs w:val="17"/>
          <w:u w:val="single" w:color="auto"/>
          <w:color w:val="0000EE"/>
        </w:rPr>
        <w:tab/>
      </w:r>
      <w:hyperlink r:id="rId150">
        <w:r>
          <w:rPr>
            <w:rFonts w:ascii="Arial" w:cs="Arial" w:eastAsia="Arial" w:hAnsi="Arial"/>
            <w:sz w:val="17"/>
            <w:szCs w:val="17"/>
            <w:u w:val="single" w:color="auto"/>
            <w:color w:val="0000EE"/>
          </w:rPr>
          <w:t>Form of TELA Bio, Inc. 2019 Equity Incentive Plan Stock Option Grant Notice and Stock Option</w:t>
        </w:r>
      </w:hyperlink>
      <w:r>
        <w:rPr>
          <w:rFonts w:ascii="Arial" w:cs="Arial" w:eastAsia="Arial" w:hAnsi="Arial"/>
          <w:sz w:val="17"/>
          <w:szCs w:val="17"/>
          <w:u w:val="single" w:color="auto"/>
          <w:color w:val="0000EE"/>
        </w:rPr>
        <w:t xml:space="preserve"> </w:t>
      </w:r>
      <w:hyperlink r:id="rId150">
        <w:r>
          <w:rPr>
            <w:rFonts w:ascii="Arial" w:cs="Arial" w:eastAsia="Arial" w:hAnsi="Arial"/>
            <w:sz w:val="17"/>
            <w:szCs w:val="17"/>
            <w:u w:val="single" w:color="auto"/>
            <w:color w:val="0000EE"/>
          </w:rPr>
          <w:t>Agreement (incorporated by reference to exhibit 10.11 to the Company’s Registration Statement</w:t>
        </w:r>
      </w:hyperlink>
      <w:r>
        <w:rPr>
          <w:rFonts w:ascii="Arial" w:cs="Arial" w:eastAsia="Arial" w:hAnsi="Arial"/>
          <w:sz w:val="17"/>
          <w:szCs w:val="17"/>
          <w:u w:val="single" w:color="auto"/>
          <w:color w:val="0000EE"/>
        </w:rPr>
        <w:t xml:space="preserve"> </w:t>
      </w:r>
      <w:hyperlink r:id="rId150">
        <w:r>
          <w:rPr>
            <w:rFonts w:ascii="Arial" w:cs="Arial" w:eastAsia="Arial" w:hAnsi="Arial"/>
            <w:sz w:val="17"/>
            <w:szCs w:val="17"/>
            <w:u w:val="single" w:color="auto"/>
            <w:color w:val="0000EE"/>
          </w:rPr>
          <w:t>on Form S-1 (File No. 333-234217), dated November 7, 2019)</w:t>
        </w:r>
      </w:hyperlink>
    </w:p>
    <w:p>
      <w:pPr>
        <w:spacing w:after="0" w:line="15" w:lineRule="exact"/>
        <w:rPr>
          <w:rFonts w:ascii="Arial" w:cs="Arial" w:eastAsia="Arial" w:hAnsi="Arial"/>
          <w:sz w:val="17"/>
          <w:szCs w:val="17"/>
          <w:u w:val="single" w:color="auto"/>
          <w:color w:val="0000EE"/>
        </w:rPr>
      </w:pPr>
    </w:p>
    <w:p>
      <w:pPr>
        <w:ind w:left="1260"/>
        <w:spacing w:after="0"/>
        <w:tabs>
          <w:tab w:leader="none" w:pos="2100" w:val="left"/>
        </w:tabs>
        <w:rPr>
          <w:rFonts w:ascii="Arial" w:cs="Arial" w:eastAsia="Arial" w:hAnsi="Arial"/>
          <w:sz w:val="17"/>
          <w:szCs w:val="17"/>
          <w:u w:val="single" w:color="auto"/>
          <w:color w:val="0000EE"/>
        </w:rPr>
      </w:pPr>
      <w:hyperlink r:id="rId151">
        <w:r>
          <w:rPr>
            <w:rFonts w:ascii="Arial" w:cs="Arial" w:eastAsia="Arial" w:hAnsi="Arial"/>
            <w:sz w:val="17"/>
            <w:szCs w:val="17"/>
            <w:u w:val="single" w:color="auto"/>
            <w:color w:val="0000EE"/>
          </w:rPr>
          <w:t>10.12</w:t>
        </w:r>
      </w:hyperlink>
      <w:r>
        <w:rPr>
          <w:rFonts w:ascii="Arial" w:cs="Arial" w:eastAsia="Arial" w:hAnsi="Arial"/>
          <w:sz w:val="17"/>
          <w:szCs w:val="17"/>
          <w:u w:val="single" w:color="auto"/>
          <w:color w:val="0000EE"/>
        </w:rPr>
        <w:tab/>
      </w:r>
      <w:hyperlink r:id="rId151">
        <w:r>
          <w:rPr>
            <w:rFonts w:ascii="Arial" w:cs="Arial" w:eastAsia="Arial" w:hAnsi="Arial"/>
            <w:sz w:val="17"/>
            <w:szCs w:val="17"/>
            <w:u w:val="single" w:color="auto"/>
            <w:color w:val="0000EE"/>
          </w:rPr>
          <w:t>TELA Bio, Inc. 2019 Employee Stock Purchase Plan (incorporated by reference to exhibit 10.12</w:t>
        </w:r>
      </w:hyperlink>
    </w:p>
    <w:p>
      <w:pPr>
        <w:spacing w:after="0" w:line="21" w:lineRule="exact"/>
        <w:rPr>
          <w:sz w:val="20"/>
          <w:szCs w:val="20"/>
          <w:color w:val="auto"/>
        </w:rPr>
      </w:pPr>
    </w:p>
    <w:p>
      <w:pPr>
        <w:ind w:left="2120" w:right="1679"/>
        <w:spacing w:after="0" w:line="276" w:lineRule="auto"/>
        <w:rPr>
          <w:rFonts w:ascii="Arial" w:cs="Arial" w:eastAsia="Arial" w:hAnsi="Arial"/>
          <w:sz w:val="17"/>
          <w:szCs w:val="17"/>
          <w:u w:val="single" w:color="auto"/>
          <w:color w:val="0000EE"/>
        </w:rPr>
      </w:pPr>
      <w:hyperlink r:id="rId151">
        <w:r>
          <w:rPr>
            <w:rFonts w:ascii="Arial" w:cs="Arial" w:eastAsia="Arial" w:hAnsi="Arial"/>
            <w:sz w:val="17"/>
            <w:szCs w:val="17"/>
            <w:u w:val="single" w:color="auto"/>
            <w:color w:val="0000EE"/>
          </w:rPr>
          <w:t>to the Company’s Registration Statement on Form S-1 (File No. 333-234217), dated</w:t>
        </w:r>
      </w:hyperlink>
      <w:r>
        <w:rPr>
          <w:rFonts w:ascii="Arial" w:cs="Arial" w:eastAsia="Arial" w:hAnsi="Arial"/>
          <w:sz w:val="17"/>
          <w:szCs w:val="17"/>
          <w:u w:val="single" w:color="auto"/>
          <w:color w:val="0000EE"/>
        </w:rPr>
        <w:t xml:space="preserve"> </w:t>
      </w:r>
      <w:hyperlink r:id="rId151">
        <w:r>
          <w:rPr>
            <w:rFonts w:ascii="Arial" w:cs="Arial" w:eastAsia="Arial" w:hAnsi="Arial"/>
            <w:sz w:val="17"/>
            <w:szCs w:val="17"/>
            <w:u w:val="single" w:color="auto"/>
            <w:color w:val="0000EE"/>
          </w:rPr>
          <w:t>November 7, 2019)</w:t>
        </w:r>
      </w:hyperlink>
    </w:p>
    <w:p>
      <w:pPr>
        <w:spacing w:after="0" w:line="9" w:lineRule="exact"/>
        <w:rPr>
          <w:sz w:val="20"/>
          <w:szCs w:val="20"/>
          <w:color w:val="auto"/>
        </w:rPr>
      </w:pPr>
    </w:p>
    <w:p>
      <w:pPr>
        <w:jc w:val="both"/>
        <w:ind w:left="2120" w:right="1139" w:hanging="863"/>
        <w:spacing w:after="0" w:line="270" w:lineRule="auto"/>
        <w:tabs>
          <w:tab w:leader="none" w:pos="2100" w:val="left"/>
        </w:tabs>
        <w:rPr>
          <w:rFonts w:ascii="Arial" w:cs="Arial" w:eastAsia="Arial" w:hAnsi="Arial"/>
          <w:sz w:val="17"/>
          <w:szCs w:val="17"/>
          <w:u w:val="single" w:color="auto"/>
          <w:color w:val="0000EE"/>
        </w:rPr>
      </w:pPr>
      <w:hyperlink r:id="rId152">
        <w:r>
          <w:rPr>
            <w:rFonts w:ascii="Arial" w:cs="Arial" w:eastAsia="Arial" w:hAnsi="Arial"/>
            <w:sz w:val="17"/>
            <w:szCs w:val="17"/>
            <w:u w:val="single" w:color="auto"/>
            <w:color w:val="0000EE"/>
          </w:rPr>
          <w:t>10.13</w:t>
        </w:r>
      </w:hyperlink>
      <w:r>
        <w:rPr>
          <w:rFonts w:ascii="Arial" w:cs="Arial" w:eastAsia="Arial" w:hAnsi="Arial"/>
          <w:sz w:val="17"/>
          <w:szCs w:val="17"/>
          <w:u w:val="single" w:color="auto"/>
          <w:color w:val="0000EE"/>
        </w:rPr>
        <w:tab/>
      </w:r>
      <w:hyperlink r:id="rId152">
        <w:r>
          <w:rPr>
            <w:rFonts w:ascii="Arial" w:cs="Arial" w:eastAsia="Arial" w:hAnsi="Arial"/>
            <w:sz w:val="17"/>
            <w:szCs w:val="17"/>
            <w:u w:val="single" w:color="auto"/>
            <w:color w:val="0000EE"/>
          </w:rPr>
          <w:t>TELA Bio, Inc. Non-Employee Director Compensation Policy (incorporated by reference to</w:t>
        </w:r>
      </w:hyperlink>
      <w:r>
        <w:rPr>
          <w:rFonts w:ascii="Arial" w:cs="Arial" w:eastAsia="Arial" w:hAnsi="Arial"/>
          <w:sz w:val="17"/>
          <w:szCs w:val="17"/>
          <w:u w:val="single" w:color="auto"/>
          <w:color w:val="0000EE"/>
        </w:rPr>
        <w:t xml:space="preserve"> </w:t>
      </w:r>
      <w:hyperlink r:id="rId152">
        <w:r>
          <w:rPr>
            <w:rFonts w:ascii="Arial" w:cs="Arial" w:eastAsia="Arial" w:hAnsi="Arial"/>
            <w:sz w:val="17"/>
            <w:szCs w:val="17"/>
            <w:u w:val="single" w:color="auto"/>
            <w:color w:val="0000EE"/>
          </w:rPr>
          <w:t>exhibit 10.13 to the Company’s Registration Statement on Form S-1 (File No. 333-234217),</w:t>
        </w:r>
      </w:hyperlink>
      <w:r>
        <w:rPr>
          <w:rFonts w:ascii="Arial" w:cs="Arial" w:eastAsia="Arial" w:hAnsi="Arial"/>
          <w:sz w:val="17"/>
          <w:szCs w:val="17"/>
          <w:u w:val="single" w:color="auto"/>
          <w:color w:val="0000EE"/>
        </w:rPr>
        <w:t xml:space="preserve"> </w:t>
      </w:r>
      <w:hyperlink r:id="rId152">
        <w:r>
          <w:rPr>
            <w:rFonts w:ascii="Arial" w:cs="Arial" w:eastAsia="Arial" w:hAnsi="Arial"/>
            <w:sz w:val="17"/>
            <w:szCs w:val="17"/>
            <w:u w:val="single" w:color="auto"/>
            <w:color w:val="0000EE"/>
          </w:rPr>
          <w:t>dated November 7, 2019)</w:t>
        </w:r>
      </w:hyperlink>
    </w:p>
    <w:p>
      <w:pPr>
        <w:spacing w:after="0" w:line="15" w:lineRule="exact"/>
        <w:rPr>
          <w:rFonts w:ascii="Arial" w:cs="Arial" w:eastAsia="Arial" w:hAnsi="Arial"/>
          <w:sz w:val="17"/>
          <w:szCs w:val="17"/>
          <w:u w:val="single" w:color="auto"/>
          <w:color w:val="0000EE"/>
        </w:rPr>
      </w:pPr>
    </w:p>
    <w:p>
      <w:pPr>
        <w:ind w:left="2120" w:right="859" w:hanging="863"/>
        <w:spacing w:after="0" w:line="270" w:lineRule="auto"/>
        <w:tabs>
          <w:tab w:leader="none" w:pos="2100" w:val="left"/>
        </w:tabs>
        <w:rPr>
          <w:rFonts w:ascii="Arial" w:cs="Arial" w:eastAsia="Arial" w:hAnsi="Arial"/>
          <w:sz w:val="17"/>
          <w:szCs w:val="17"/>
          <w:u w:val="single" w:color="auto"/>
          <w:color w:val="0000EE"/>
        </w:rPr>
      </w:pPr>
      <w:hyperlink r:id="rId153">
        <w:r>
          <w:rPr>
            <w:rFonts w:ascii="Arial" w:cs="Arial" w:eastAsia="Arial" w:hAnsi="Arial"/>
            <w:sz w:val="17"/>
            <w:szCs w:val="17"/>
            <w:u w:val="single" w:color="auto"/>
            <w:color w:val="0000EE"/>
          </w:rPr>
          <w:t>10.14</w:t>
        </w:r>
      </w:hyperlink>
      <w:r>
        <w:rPr>
          <w:rFonts w:ascii="Arial" w:cs="Arial" w:eastAsia="Arial" w:hAnsi="Arial"/>
          <w:sz w:val="17"/>
          <w:szCs w:val="17"/>
          <w:u w:val="single" w:color="auto"/>
          <w:color w:val="0000EE"/>
        </w:rPr>
        <w:tab/>
      </w:r>
      <w:hyperlink r:id="rId153">
        <w:r>
          <w:rPr>
            <w:rFonts w:ascii="Arial" w:cs="Arial" w:eastAsia="Arial" w:hAnsi="Arial"/>
            <w:sz w:val="17"/>
            <w:szCs w:val="17"/>
            <w:u w:val="single" w:color="auto"/>
            <w:color w:val="0000EE"/>
          </w:rPr>
          <w:t>Amended and Restated Employment Agreement, dated October 25, 2019, by and between the</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Company and Antony Koblish (incorporated by reference to exhibit 10.16 to the Company’s</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Registration Statement on Form S-1 (File No. 333-234217), dated November 7, 2019)</w:t>
        </w:r>
      </w:hyperlink>
    </w:p>
    <w:p>
      <w:pPr>
        <w:spacing w:after="0" w:line="15" w:lineRule="exact"/>
        <w:rPr>
          <w:rFonts w:ascii="Arial" w:cs="Arial" w:eastAsia="Arial" w:hAnsi="Arial"/>
          <w:sz w:val="17"/>
          <w:szCs w:val="17"/>
          <w:u w:val="single" w:color="auto"/>
          <w:color w:val="0000EE"/>
        </w:rPr>
      </w:pPr>
    </w:p>
    <w:p>
      <w:pPr>
        <w:ind w:left="2120" w:right="859" w:hanging="863"/>
        <w:spacing w:after="0" w:line="268" w:lineRule="auto"/>
        <w:tabs>
          <w:tab w:leader="none" w:pos="2100" w:val="left"/>
        </w:tabs>
        <w:rPr>
          <w:rFonts w:ascii="Arial" w:cs="Arial" w:eastAsia="Arial" w:hAnsi="Arial"/>
          <w:sz w:val="17"/>
          <w:szCs w:val="17"/>
          <w:u w:val="single" w:color="auto"/>
          <w:color w:val="0000EE"/>
        </w:rPr>
      </w:pPr>
      <w:hyperlink r:id="rId154">
        <w:r>
          <w:rPr>
            <w:rFonts w:ascii="Arial" w:cs="Arial" w:eastAsia="Arial" w:hAnsi="Arial"/>
            <w:sz w:val="17"/>
            <w:szCs w:val="17"/>
            <w:u w:val="single" w:color="auto"/>
            <w:color w:val="0000EE"/>
          </w:rPr>
          <w:t>10.15</w:t>
        </w:r>
      </w:hyperlink>
      <w:r>
        <w:rPr>
          <w:rFonts w:ascii="Arial" w:cs="Arial" w:eastAsia="Arial" w:hAnsi="Arial"/>
          <w:sz w:val="17"/>
          <w:szCs w:val="17"/>
          <w:u w:val="single" w:color="auto"/>
          <w:color w:val="0000EE"/>
        </w:rPr>
        <w:tab/>
      </w:r>
      <w:hyperlink r:id="rId154">
        <w:r>
          <w:rPr>
            <w:rFonts w:ascii="Arial" w:cs="Arial" w:eastAsia="Arial" w:hAnsi="Arial"/>
            <w:sz w:val="17"/>
            <w:szCs w:val="17"/>
            <w:u w:val="single" w:color="auto"/>
            <w:color w:val="0000EE"/>
          </w:rPr>
          <w:t>Amended and Restated Employment Agreement, dated October 25, 2019, by and between the</w:t>
        </w:r>
      </w:hyperlink>
      <w:r>
        <w:rPr>
          <w:rFonts w:ascii="Arial" w:cs="Arial" w:eastAsia="Arial" w:hAnsi="Arial"/>
          <w:sz w:val="17"/>
          <w:szCs w:val="17"/>
          <w:u w:val="single" w:color="auto"/>
          <w:color w:val="0000EE"/>
        </w:rPr>
        <w:t xml:space="preserve"> </w:t>
      </w:r>
      <w:hyperlink r:id="rId154">
        <w:r>
          <w:rPr>
            <w:rFonts w:ascii="Arial" w:cs="Arial" w:eastAsia="Arial" w:hAnsi="Arial"/>
            <w:sz w:val="17"/>
            <w:szCs w:val="17"/>
            <w:u w:val="single" w:color="auto"/>
            <w:color w:val="0000EE"/>
          </w:rPr>
          <w:t>Company and Maarten Persenaire, M.D. (incorporated by reference to exhibit 10.19 to the</w:t>
        </w:r>
      </w:hyperlink>
      <w:r>
        <w:rPr>
          <w:rFonts w:ascii="Arial" w:cs="Arial" w:eastAsia="Arial" w:hAnsi="Arial"/>
          <w:sz w:val="17"/>
          <w:szCs w:val="17"/>
          <w:u w:val="single" w:color="auto"/>
          <w:color w:val="0000EE"/>
        </w:rPr>
        <w:t xml:space="preserve"> </w:t>
      </w:r>
      <w:hyperlink r:id="rId154">
        <w:r>
          <w:rPr>
            <w:rFonts w:ascii="Arial" w:cs="Arial" w:eastAsia="Arial" w:hAnsi="Arial"/>
            <w:sz w:val="17"/>
            <w:szCs w:val="17"/>
            <w:u w:val="single" w:color="auto"/>
            <w:color w:val="0000EE"/>
          </w:rPr>
          <w:t>Company’s Registration Statement on Form S-1 (File No. 333-234217), dated November 7,</w:t>
        </w:r>
      </w:hyperlink>
      <w:r>
        <w:rPr>
          <w:rFonts w:ascii="Arial" w:cs="Arial" w:eastAsia="Arial" w:hAnsi="Arial"/>
          <w:sz w:val="17"/>
          <w:szCs w:val="17"/>
          <w:u w:val="single" w:color="auto"/>
          <w:color w:val="0000EE"/>
        </w:rPr>
        <w:t xml:space="preserve"> </w:t>
      </w:r>
      <w:hyperlink r:id="rId154">
        <w:r>
          <w:rPr>
            <w:rFonts w:ascii="Arial" w:cs="Arial" w:eastAsia="Arial" w:hAnsi="Arial"/>
            <w:sz w:val="17"/>
            <w:szCs w:val="17"/>
            <w:u w:val="single" w:color="auto"/>
            <w:color w:val="0000EE"/>
          </w:rPr>
          <w:t>2019)</w:t>
        </w:r>
      </w:hyperlink>
    </w:p>
    <w:p>
      <w:pPr>
        <w:spacing w:after="0" w:line="18" w:lineRule="exact"/>
        <w:rPr>
          <w:rFonts w:ascii="Arial" w:cs="Arial" w:eastAsia="Arial" w:hAnsi="Arial"/>
          <w:sz w:val="17"/>
          <w:szCs w:val="17"/>
          <w:u w:val="single" w:color="auto"/>
          <w:color w:val="0000EE"/>
        </w:rPr>
      </w:pPr>
    </w:p>
    <w:p>
      <w:pPr>
        <w:jc w:val="both"/>
        <w:ind w:left="2120" w:right="859" w:hanging="863"/>
        <w:spacing w:after="0" w:line="270" w:lineRule="auto"/>
        <w:tabs>
          <w:tab w:leader="none" w:pos="2100" w:val="left"/>
        </w:tabs>
        <w:rPr>
          <w:rFonts w:ascii="Arial" w:cs="Arial" w:eastAsia="Arial" w:hAnsi="Arial"/>
          <w:sz w:val="17"/>
          <w:szCs w:val="17"/>
          <w:u w:val="single" w:color="auto"/>
          <w:color w:val="0000EE"/>
        </w:rPr>
      </w:pPr>
      <w:hyperlink r:id="rId155">
        <w:r>
          <w:rPr>
            <w:rFonts w:ascii="Arial" w:cs="Arial" w:eastAsia="Arial" w:hAnsi="Arial"/>
            <w:sz w:val="17"/>
            <w:szCs w:val="17"/>
            <w:u w:val="single" w:color="auto"/>
            <w:color w:val="0000EE"/>
          </w:rPr>
          <w:t>10.16</w:t>
        </w:r>
      </w:hyperlink>
      <w:r>
        <w:rPr>
          <w:rFonts w:ascii="Arial" w:cs="Arial" w:eastAsia="Arial" w:hAnsi="Arial"/>
          <w:sz w:val="17"/>
          <w:szCs w:val="17"/>
          <w:u w:val="single" w:color="auto"/>
          <w:color w:val="0000EE"/>
        </w:rPr>
        <w:tab/>
      </w:r>
      <w:hyperlink r:id="rId155">
        <w:r>
          <w:rPr>
            <w:rFonts w:ascii="Arial" w:cs="Arial" w:eastAsia="Arial" w:hAnsi="Arial"/>
            <w:sz w:val="17"/>
            <w:szCs w:val="17"/>
            <w:u w:val="single" w:color="auto"/>
            <w:color w:val="0000EE"/>
          </w:rPr>
          <w:t>Amended and Restated Employment Agreement, dated October 25, 2019, by and between the</w:t>
        </w:r>
      </w:hyperlink>
      <w:r>
        <w:rPr>
          <w:rFonts w:ascii="Arial" w:cs="Arial" w:eastAsia="Arial" w:hAnsi="Arial"/>
          <w:sz w:val="17"/>
          <w:szCs w:val="17"/>
          <w:u w:val="single" w:color="auto"/>
          <w:color w:val="0000EE"/>
        </w:rPr>
        <w:t xml:space="preserve"> </w:t>
      </w:r>
      <w:hyperlink r:id="rId155">
        <w:r>
          <w:rPr>
            <w:rFonts w:ascii="Arial" w:cs="Arial" w:eastAsia="Arial" w:hAnsi="Arial"/>
            <w:sz w:val="17"/>
            <w:szCs w:val="17"/>
            <w:u w:val="single" w:color="auto"/>
            <w:color w:val="0000EE"/>
          </w:rPr>
          <w:t>Company and Skott Greenhalgh (incorporated by reference to exhibit 10.21 to the Company’s</w:t>
        </w:r>
      </w:hyperlink>
      <w:r>
        <w:rPr>
          <w:rFonts w:ascii="Arial" w:cs="Arial" w:eastAsia="Arial" w:hAnsi="Arial"/>
          <w:sz w:val="17"/>
          <w:szCs w:val="17"/>
          <w:u w:val="single" w:color="auto"/>
          <w:color w:val="0000EE"/>
        </w:rPr>
        <w:t xml:space="preserve"> </w:t>
      </w:r>
      <w:hyperlink r:id="rId155">
        <w:r>
          <w:rPr>
            <w:rFonts w:ascii="Arial" w:cs="Arial" w:eastAsia="Arial" w:hAnsi="Arial"/>
            <w:sz w:val="17"/>
            <w:szCs w:val="17"/>
            <w:u w:val="single" w:color="auto"/>
            <w:color w:val="0000EE"/>
          </w:rPr>
          <w:t>Registration Statement on Form S-1 (File No. 333-234217), dated November 7, 2019)</w:t>
        </w:r>
      </w:hyperlink>
    </w:p>
    <w:p>
      <w:pPr>
        <w:spacing w:after="0" w:line="15" w:lineRule="exact"/>
        <w:rPr>
          <w:rFonts w:ascii="Arial" w:cs="Arial" w:eastAsia="Arial" w:hAnsi="Arial"/>
          <w:sz w:val="17"/>
          <w:szCs w:val="17"/>
          <w:u w:val="single" w:color="auto"/>
          <w:color w:val="0000EE"/>
        </w:rPr>
      </w:pPr>
    </w:p>
    <w:p>
      <w:pPr>
        <w:ind w:left="2120" w:right="859" w:hanging="863"/>
        <w:spacing w:after="0" w:line="270" w:lineRule="auto"/>
        <w:tabs>
          <w:tab w:leader="none" w:pos="2100" w:val="left"/>
        </w:tabs>
        <w:rPr>
          <w:rFonts w:ascii="Arial" w:cs="Arial" w:eastAsia="Arial" w:hAnsi="Arial"/>
          <w:sz w:val="17"/>
          <w:szCs w:val="17"/>
          <w:u w:val="single" w:color="auto"/>
          <w:color w:val="0000EE"/>
        </w:rPr>
      </w:pPr>
      <w:hyperlink r:id="rId156">
        <w:r>
          <w:rPr>
            <w:rFonts w:ascii="Arial" w:cs="Arial" w:eastAsia="Arial" w:hAnsi="Arial"/>
            <w:sz w:val="17"/>
            <w:szCs w:val="17"/>
            <w:u w:val="single" w:color="auto"/>
            <w:color w:val="0000EE"/>
          </w:rPr>
          <w:t>10.17</w:t>
        </w:r>
      </w:hyperlink>
      <w:r>
        <w:rPr>
          <w:rFonts w:ascii="Arial" w:cs="Arial" w:eastAsia="Arial" w:hAnsi="Arial"/>
          <w:sz w:val="17"/>
          <w:szCs w:val="17"/>
          <w:u w:val="single" w:color="auto"/>
          <w:color w:val="0000EE"/>
        </w:rPr>
        <w:tab/>
      </w:r>
      <w:hyperlink r:id="rId156">
        <w:r>
          <w:rPr>
            <w:rFonts w:ascii="Arial" w:cs="Arial" w:eastAsia="Arial" w:hAnsi="Arial"/>
            <w:sz w:val="17"/>
            <w:szCs w:val="17"/>
            <w:u w:val="single" w:color="auto"/>
            <w:color w:val="0000EE"/>
          </w:rPr>
          <w:t>Amended and Restated Employment Agreement, dated October 25, 2019, by and between the</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Company and Nora Brennan (incorporated by reference to exhibit 10.31 to the Company’s</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Registration Statement on Form S-1 (File No. 333-234217), dated November 7, 2019)</w:t>
        </w:r>
      </w:hyperlink>
    </w:p>
    <w:p>
      <w:pPr>
        <w:spacing w:after="0" w:line="15" w:lineRule="exact"/>
        <w:rPr>
          <w:rFonts w:ascii="Arial" w:cs="Arial" w:eastAsia="Arial" w:hAnsi="Arial"/>
          <w:sz w:val="17"/>
          <w:szCs w:val="17"/>
          <w:u w:val="single" w:color="auto"/>
          <w:color w:val="0000EE"/>
        </w:rPr>
      </w:pPr>
    </w:p>
    <w:p>
      <w:pPr>
        <w:ind w:left="2120" w:right="1199" w:hanging="863"/>
        <w:spacing w:after="0" w:line="270" w:lineRule="auto"/>
        <w:tabs>
          <w:tab w:leader="none" w:pos="2100" w:val="left"/>
        </w:tabs>
        <w:rPr>
          <w:rFonts w:ascii="Arial" w:cs="Arial" w:eastAsia="Arial" w:hAnsi="Arial"/>
          <w:sz w:val="17"/>
          <w:szCs w:val="17"/>
          <w:u w:val="single" w:color="auto"/>
          <w:color w:val="0000EE"/>
        </w:rPr>
      </w:pPr>
      <w:hyperlink r:id="rId157">
        <w:r>
          <w:rPr>
            <w:rFonts w:ascii="Arial" w:cs="Arial" w:eastAsia="Arial" w:hAnsi="Arial"/>
            <w:sz w:val="17"/>
            <w:szCs w:val="17"/>
            <w:u w:val="single" w:color="auto"/>
            <w:color w:val="0000EE"/>
          </w:rPr>
          <w:t>10.18</w:t>
        </w:r>
      </w:hyperlink>
      <w:r>
        <w:rPr>
          <w:rFonts w:ascii="Arial" w:cs="Arial" w:eastAsia="Arial" w:hAnsi="Arial"/>
          <w:sz w:val="17"/>
          <w:szCs w:val="17"/>
          <w:u w:val="single" w:color="auto"/>
          <w:color w:val="0000EE"/>
        </w:rPr>
        <w:tab/>
      </w:r>
      <w:hyperlink r:id="rId157">
        <w:r>
          <w:rPr>
            <w:rFonts w:ascii="Arial" w:cs="Arial" w:eastAsia="Arial" w:hAnsi="Arial"/>
            <w:sz w:val="17"/>
            <w:szCs w:val="17"/>
            <w:u w:val="single" w:color="auto"/>
            <w:color w:val="0000EE"/>
          </w:rPr>
          <w:t>Credit Agreement, dated November 16, 2018, by and between the Company and OrbiMed</w:t>
        </w:r>
      </w:hyperlink>
      <w:r>
        <w:rPr>
          <w:rFonts w:ascii="Arial" w:cs="Arial" w:eastAsia="Arial" w:hAnsi="Arial"/>
          <w:sz w:val="17"/>
          <w:szCs w:val="17"/>
          <w:u w:val="single" w:color="auto"/>
          <w:color w:val="0000EE"/>
        </w:rPr>
        <w:t xml:space="preserve"> </w:t>
      </w:r>
      <w:hyperlink r:id="rId157">
        <w:r>
          <w:rPr>
            <w:rFonts w:ascii="Arial" w:cs="Arial" w:eastAsia="Arial" w:hAnsi="Arial"/>
            <w:sz w:val="17"/>
            <w:szCs w:val="17"/>
            <w:u w:val="single" w:color="auto"/>
            <w:color w:val="0000EE"/>
          </w:rPr>
          <w:t>Royalty Opportunities II, LP (incorporated by reference to exhibit 10.22 to the Company’s</w:t>
        </w:r>
      </w:hyperlink>
      <w:r>
        <w:rPr>
          <w:rFonts w:ascii="Arial" w:cs="Arial" w:eastAsia="Arial" w:hAnsi="Arial"/>
          <w:sz w:val="17"/>
          <w:szCs w:val="17"/>
          <w:u w:val="single" w:color="auto"/>
          <w:color w:val="0000EE"/>
        </w:rPr>
        <w:t xml:space="preserve"> </w:t>
      </w:r>
      <w:hyperlink r:id="rId157">
        <w:r>
          <w:rPr>
            <w:rFonts w:ascii="Arial" w:cs="Arial" w:eastAsia="Arial" w:hAnsi="Arial"/>
            <w:sz w:val="17"/>
            <w:szCs w:val="17"/>
            <w:u w:val="single" w:color="auto"/>
            <w:color w:val="0000EE"/>
          </w:rPr>
          <w:t>Registration Statement on Form S-1 (File No. 333-234217), dated November 7, 2019)</w:t>
        </w:r>
      </w:hyperlink>
    </w:p>
    <w:p>
      <w:pPr>
        <w:spacing w:after="0" w:line="15" w:lineRule="exact"/>
        <w:rPr>
          <w:rFonts w:ascii="Arial" w:cs="Arial" w:eastAsia="Arial" w:hAnsi="Arial"/>
          <w:sz w:val="17"/>
          <w:szCs w:val="17"/>
          <w:u w:val="single" w:color="auto"/>
          <w:color w:val="0000EE"/>
        </w:rPr>
      </w:pPr>
    </w:p>
    <w:p>
      <w:pPr>
        <w:ind w:left="2120" w:right="739" w:hanging="863"/>
        <w:spacing w:after="0" w:line="268" w:lineRule="auto"/>
        <w:tabs>
          <w:tab w:leader="none" w:pos="2100" w:val="left"/>
        </w:tabs>
        <w:rPr>
          <w:rFonts w:ascii="Arial" w:cs="Arial" w:eastAsia="Arial" w:hAnsi="Arial"/>
          <w:sz w:val="17"/>
          <w:szCs w:val="17"/>
          <w:u w:val="single" w:color="auto"/>
          <w:color w:val="0000EE"/>
        </w:rPr>
      </w:pPr>
      <w:hyperlink r:id="rId158">
        <w:r>
          <w:rPr>
            <w:rFonts w:ascii="Arial" w:cs="Arial" w:eastAsia="Arial" w:hAnsi="Arial"/>
            <w:sz w:val="17"/>
            <w:szCs w:val="17"/>
            <w:u w:val="single" w:color="auto"/>
            <w:color w:val="0000EE"/>
          </w:rPr>
          <w:t>10.19#</w:t>
        </w:r>
      </w:hyperlink>
      <w:r>
        <w:rPr>
          <w:rFonts w:ascii="Arial" w:cs="Arial" w:eastAsia="Arial" w:hAnsi="Arial"/>
          <w:sz w:val="17"/>
          <w:szCs w:val="17"/>
          <w:u w:val="single" w:color="auto"/>
          <w:color w:val="0000EE"/>
        </w:rPr>
        <w:tab/>
      </w:r>
      <w:hyperlink r:id="rId158">
        <w:r>
          <w:rPr>
            <w:rFonts w:ascii="Arial" w:cs="Arial" w:eastAsia="Arial" w:hAnsi="Arial"/>
            <w:sz w:val="17"/>
            <w:szCs w:val="17"/>
            <w:u w:val="single" w:color="auto"/>
            <w:color w:val="0000EE"/>
          </w:rPr>
          <w:t>Second Amended and Restated License, Product Development and Supply Umbrella</w:t>
        </w:r>
      </w:hyperlink>
      <w:r>
        <w:rPr>
          <w:rFonts w:ascii="Arial" w:cs="Arial" w:eastAsia="Arial" w:hAnsi="Arial"/>
          <w:sz w:val="17"/>
          <w:szCs w:val="17"/>
          <w:u w:val="single" w:color="auto"/>
          <w:color w:val="0000EE"/>
        </w:rPr>
        <w:t xml:space="preserve"> </w:t>
      </w:r>
      <w:hyperlink r:id="rId158">
        <w:r>
          <w:rPr>
            <w:rFonts w:ascii="Arial" w:cs="Arial" w:eastAsia="Arial" w:hAnsi="Arial"/>
            <w:sz w:val="17"/>
            <w:szCs w:val="17"/>
            <w:u w:val="single" w:color="auto"/>
            <w:color w:val="0000EE"/>
          </w:rPr>
          <w:t>Agreement, dated July 16, 2015, by and between the Company and Aroa Biosurgery Ltd.</w:t>
        </w:r>
      </w:hyperlink>
      <w:r>
        <w:rPr>
          <w:rFonts w:ascii="Arial" w:cs="Arial" w:eastAsia="Arial" w:hAnsi="Arial"/>
          <w:sz w:val="17"/>
          <w:szCs w:val="17"/>
          <w:u w:val="single" w:color="auto"/>
          <w:color w:val="0000EE"/>
        </w:rPr>
        <w:t xml:space="preserve"> </w:t>
      </w:r>
      <w:hyperlink r:id="rId158">
        <w:r>
          <w:rPr>
            <w:rFonts w:ascii="Arial" w:cs="Arial" w:eastAsia="Arial" w:hAnsi="Arial"/>
            <w:sz w:val="17"/>
            <w:szCs w:val="17"/>
            <w:u w:val="single" w:color="auto"/>
            <w:color w:val="0000EE"/>
          </w:rPr>
          <w:t>(incorporated by reference to exhibit 10.23 to the Company’s Registration Statement on Form S-</w:t>
        </w:r>
      </w:hyperlink>
      <w:hyperlink r:id="rId158">
        <w:r>
          <w:rPr>
            <w:rFonts w:ascii="Arial" w:cs="Arial" w:eastAsia="Arial" w:hAnsi="Arial"/>
            <w:sz w:val="17"/>
            <w:szCs w:val="17"/>
            <w:u w:val="single" w:color="auto"/>
            <w:color w:val="0000EE"/>
          </w:rPr>
          <w:t>1 (File No. 333-234217), dated November 7, 2019)</w:t>
        </w:r>
      </w:hyperlink>
    </w:p>
    <w:p>
      <w:pPr>
        <w:spacing w:after="0" w:line="18" w:lineRule="exact"/>
        <w:rPr>
          <w:rFonts w:ascii="Arial" w:cs="Arial" w:eastAsia="Arial" w:hAnsi="Arial"/>
          <w:sz w:val="17"/>
          <w:szCs w:val="17"/>
          <w:u w:val="single" w:color="auto"/>
          <w:color w:val="0000EE"/>
        </w:rPr>
      </w:pPr>
    </w:p>
    <w:p>
      <w:pPr>
        <w:ind w:left="2120" w:right="1159" w:hanging="863"/>
        <w:spacing w:after="0" w:line="268" w:lineRule="auto"/>
        <w:tabs>
          <w:tab w:leader="none" w:pos="2100" w:val="left"/>
        </w:tabs>
        <w:rPr>
          <w:rFonts w:ascii="Arial" w:cs="Arial" w:eastAsia="Arial" w:hAnsi="Arial"/>
          <w:sz w:val="17"/>
          <w:szCs w:val="17"/>
          <w:u w:val="single" w:color="auto"/>
          <w:color w:val="0000EE"/>
        </w:rPr>
      </w:pPr>
      <w:hyperlink r:id="rId159">
        <w:r>
          <w:rPr>
            <w:rFonts w:ascii="Arial" w:cs="Arial" w:eastAsia="Arial" w:hAnsi="Arial"/>
            <w:sz w:val="17"/>
            <w:szCs w:val="17"/>
            <w:u w:val="single" w:color="auto"/>
            <w:color w:val="0000EE"/>
          </w:rPr>
          <w:t>10.20#</w:t>
        </w:r>
      </w:hyperlink>
      <w:r>
        <w:rPr>
          <w:rFonts w:ascii="Arial" w:cs="Arial" w:eastAsia="Arial" w:hAnsi="Arial"/>
          <w:sz w:val="17"/>
          <w:szCs w:val="17"/>
          <w:u w:val="single" w:color="auto"/>
          <w:color w:val="0000EE"/>
        </w:rPr>
        <w:tab/>
      </w:r>
      <w:hyperlink r:id="rId159">
        <w:r>
          <w:rPr>
            <w:rFonts w:ascii="Arial" w:cs="Arial" w:eastAsia="Arial" w:hAnsi="Arial"/>
            <w:sz w:val="17"/>
            <w:szCs w:val="17"/>
            <w:u w:val="single" w:color="auto"/>
            <w:color w:val="0000EE"/>
          </w:rPr>
          <w:t>Amendment to Second Amended and Restated License, Product Development and Supply</w:t>
        </w:r>
      </w:hyperlink>
      <w:r>
        <w:rPr>
          <w:rFonts w:ascii="Arial" w:cs="Arial" w:eastAsia="Arial" w:hAnsi="Arial"/>
          <w:sz w:val="17"/>
          <w:szCs w:val="17"/>
          <w:u w:val="single" w:color="auto"/>
          <w:color w:val="0000EE"/>
        </w:rPr>
        <w:t xml:space="preserve"> </w:t>
      </w:r>
      <w:hyperlink r:id="rId159">
        <w:r>
          <w:rPr>
            <w:rFonts w:ascii="Arial" w:cs="Arial" w:eastAsia="Arial" w:hAnsi="Arial"/>
            <w:sz w:val="17"/>
            <w:szCs w:val="17"/>
            <w:u w:val="single" w:color="auto"/>
            <w:color w:val="0000EE"/>
          </w:rPr>
          <w:t>Umbrella Agreement, dated November 26, 2015, by and between the Company and Aroa</w:t>
        </w:r>
      </w:hyperlink>
      <w:r>
        <w:rPr>
          <w:rFonts w:ascii="Arial" w:cs="Arial" w:eastAsia="Arial" w:hAnsi="Arial"/>
          <w:sz w:val="17"/>
          <w:szCs w:val="17"/>
          <w:u w:val="single" w:color="auto"/>
          <w:color w:val="0000EE"/>
        </w:rPr>
        <w:t xml:space="preserve"> </w:t>
      </w:r>
      <w:hyperlink r:id="rId159">
        <w:r>
          <w:rPr>
            <w:rFonts w:ascii="Arial" w:cs="Arial" w:eastAsia="Arial" w:hAnsi="Arial"/>
            <w:sz w:val="17"/>
            <w:szCs w:val="17"/>
            <w:u w:val="single" w:color="auto"/>
            <w:color w:val="0000EE"/>
          </w:rPr>
          <w:t>Biosurgery Ltd. (incorporated by reference to exhibit 10.24 to the Company’s Registration</w:t>
        </w:r>
      </w:hyperlink>
      <w:r>
        <w:rPr>
          <w:rFonts w:ascii="Arial" w:cs="Arial" w:eastAsia="Arial" w:hAnsi="Arial"/>
          <w:sz w:val="17"/>
          <w:szCs w:val="17"/>
          <w:u w:val="single" w:color="auto"/>
          <w:color w:val="0000EE"/>
        </w:rPr>
        <w:t xml:space="preserve"> </w:t>
      </w:r>
      <w:hyperlink r:id="rId159">
        <w:r>
          <w:rPr>
            <w:rFonts w:ascii="Arial" w:cs="Arial" w:eastAsia="Arial" w:hAnsi="Arial"/>
            <w:sz w:val="17"/>
            <w:szCs w:val="17"/>
            <w:u w:val="single" w:color="auto"/>
            <w:color w:val="0000EE"/>
          </w:rPr>
          <w:t>Statement on Form S-1 (File No. 333-234217), dated November 7, 2019)</w:t>
        </w:r>
      </w:hyperlink>
    </w:p>
    <w:p>
      <w:pPr>
        <w:spacing w:after="0" w:line="18" w:lineRule="exact"/>
        <w:rPr>
          <w:rFonts w:ascii="Arial" w:cs="Arial" w:eastAsia="Arial" w:hAnsi="Arial"/>
          <w:sz w:val="17"/>
          <w:szCs w:val="17"/>
          <w:u w:val="single" w:color="auto"/>
          <w:color w:val="0000EE"/>
        </w:rPr>
      </w:pPr>
    </w:p>
    <w:p>
      <w:pPr>
        <w:ind w:left="2120" w:right="679" w:hanging="863"/>
        <w:spacing w:after="0" w:line="268" w:lineRule="auto"/>
        <w:tabs>
          <w:tab w:leader="none" w:pos="2100" w:val="left"/>
        </w:tabs>
        <w:rPr>
          <w:rFonts w:ascii="Arial" w:cs="Arial" w:eastAsia="Arial" w:hAnsi="Arial"/>
          <w:sz w:val="17"/>
          <w:szCs w:val="17"/>
          <w:u w:val="single" w:color="auto"/>
          <w:color w:val="0000EE"/>
        </w:rPr>
      </w:pPr>
      <w:hyperlink r:id="rId160">
        <w:r>
          <w:rPr>
            <w:rFonts w:ascii="Arial" w:cs="Arial" w:eastAsia="Arial" w:hAnsi="Arial"/>
            <w:sz w:val="17"/>
            <w:szCs w:val="17"/>
            <w:u w:val="single" w:color="auto"/>
            <w:color w:val="0000EE"/>
          </w:rPr>
          <w:t>10.21#</w:t>
        </w:r>
      </w:hyperlink>
      <w:r>
        <w:rPr>
          <w:rFonts w:ascii="Arial" w:cs="Arial" w:eastAsia="Arial" w:hAnsi="Arial"/>
          <w:sz w:val="17"/>
          <w:szCs w:val="17"/>
          <w:u w:val="single" w:color="auto"/>
          <w:color w:val="0000EE"/>
        </w:rPr>
        <w:tab/>
      </w:r>
      <w:hyperlink r:id="rId160">
        <w:r>
          <w:rPr>
            <w:rFonts w:ascii="Arial" w:cs="Arial" w:eastAsia="Arial" w:hAnsi="Arial"/>
            <w:sz w:val="17"/>
            <w:szCs w:val="17"/>
            <w:u w:val="single" w:color="auto"/>
            <w:color w:val="0000EE"/>
          </w:rPr>
          <w:t>Amendment to Second Amended and Restated License, Product Development and Supply</w:t>
        </w:r>
      </w:hyperlink>
      <w:r>
        <w:rPr>
          <w:rFonts w:ascii="Arial" w:cs="Arial" w:eastAsia="Arial" w:hAnsi="Arial"/>
          <w:sz w:val="17"/>
          <w:szCs w:val="17"/>
          <w:u w:val="single" w:color="auto"/>
          <w:color w:val="0000EE"/>
        </w:rPr>
        <w:t xml:space="preserve"> </w:t>
      </w:r>
      <w:hyperlink r:id="rId160">
        <w:r>
          <w:rPr>
            <w:rFonts w:ascii="Arial" w:cs="Arial" w:eastAsia="Arial" w:hAnsi="Arial"/>
            <w:sz w:val="17"/>
            <w:szCs w:val="17"/>
            <w:u w:val="single" w:color="auto"/>
            <w:color w:val="0000EE"/>
          </w:rPr>
          <w:t>Umbrella Agreement, dated January 3, 2019, by and between the Company and Aroa Biosurgery</w:t>
        </w:r>
      </w:hyperlink>
      <w:r>
        <w:rPr>
          <w:rFonts w:ascii="Arial" w:cs="Arial" w:eastAsia="Arial" w:hAnsi="Arial"/>
          <w:sz w:val="17"/>
          <w:szCs w:val="17"/>
          <w:u w:val="single" w:color="auto"/>
          <w:color w:val="0000EE"/>
        </w:rPr>
        <w:t xml:space="preserve"> </w:t>
      </w:r>
      <w:hyperlink r:id="rId160">
        <w:r>
          <w:rPr>
            <w:rFonts w:ascii="Arial" w:cs="Arial" w:eastAsia="Arial" w:hAnsi="Arial"/>
            <w:sz w:val="17"/>
            <w:szCs w:val="17"/>
            <w:u w:val="single" w:color="auto"/>
            <w:color w:val="0000EE"/>
          </w:rPr>
          <w:t>Ltd. (incorporated by reference to exhibit 10.25 to the Company’s Registration Statement on</w:t>
        </w:r>
      </w:hyperlink>
      <w:r>
        <w:rPr>
          <w:rFonts w:ascii="Arial" w:cs="Arial" w:eastAsia="Arial" w:hAnsi="Arial"/>
          <w:sz w:val="17"/>
          <w:szCs w:val="17"/>
          <w:u w:val="single" w:color="auto"/>
          <w:color w:val="0000EE"/>
        </w:rPr>
        <w:t xml:space="preserve"> </w:t>
      </w:r>
      <w:hyperlink r:id="rId160">
        <w:r>
          <w:rPr>
            <w:rFonts w:ascii="Arial" w:cs="Arial" w:eastAsia="Arial" w:hAnsi="Arial"/>
            <w:sz w:val="17"/>
            <w:szCs w:val="17"/>
            <w:u w:val="single" w:color="auto"/>
            <w:color w:val="0000EE"/>
          </w:rPr>
          <w:t>Form S-1 (File No. 333-234217), dated November 7, 2019)</w:t>
        </w:r>
      </w:hyperlink>
    </w:p>
    <w:p>
      <w:pPr>
        <w:spacing w:after="0" w:line="18" w:lineRule="exact"/>
        <w:rPr>
          <w:rFonts w:ascii="Arial" w:cs="Arial" w:eastAsia="Arial" w:hAnsi="Arial"/>
          <w:sz w:val="17"/>
          <w:szCs w:val="17"/>
          <w:u w:val="single" w:color="auto"/>
          <w:color w:val="0000EE"/>
        </w:rPr>
      </w:pPr>
    </w:p>
    <w:p>
      <w:pPr>
        <w:ind w:left="2120" w:right="859" w:hanging="863"/>
        <w:spacing w:after="0" w:line="268" w:lineRule="auto"/>
        <w:tabs>
          <w:tab w:leader="none" w:pos="2100" w:val="left"/>
        </w:tabs>
        <w:rPr>
          <w:rFonts w:ascii="Arial" w:cs="Arial" w:eastAsia="Arial" w:hAnsi="Arial"/>
          <w:sz w:val="17"/>
          <w:szCs w:val="17"/>
          <w:u w:val="single" w:color="auto"/>
          <w:color w:val="0000EE"/>
        </w:rPr>
      </w:pPr>
      <w:hyperlink r:id="rId161">
        <w:r>
          <w:rPr>
            <w:rFonts w:ascii="Arial" w:cs="Arial" w:eastAsia="Arial" w:hAnsi="Arial"/>
            <w:sz w:val="17"/>
            <w:szCs w:val="17"/>
            <w:u w:val="single" w:color="auto"/>
            <w:color w:val="0000EE"/>
          </w:rPr>
          <w:t>10.22#</w:t>
        </w:r>
      </w:hyperlink>
      <w:r>
        <w:rPr>
          <w:rFonts w:ascii="Arial" w:cs="Arial" w:eastAsia="Arial" w:hAnsi="Arial"/>
          <w:sz w:val="17"/>
          <w:szCs w:val="17"/>
          <w:u w:val="single" w:color="auto"/>
          <w:color w:val="0000EE"/>
        </w:rPr>
        <w:tab/>
      </w:r>
      <w:hyperlink r:id="rId161">
        <w:r>
          <w:rPr>
            <w:rFonts w:ascii="Arial" w:cs="Arial" w:eastAsia="Arial" w:hAnsi="Arial"/>
            <w:sz w:val="17"/>
            <w:szCs w:val="17"/>
            <w:u w:val="single" w:color="auto"/>
            <w:color w:val="0000EE"/>
          </w:rPr>
          <w:t>Addendum to the Second Amended and Restated License, Product Development and Supply</w:t>
        </w:r>
      </w:hyperlink>
      <w:r>
        <w:rPr>
          <w:rFonts w:ascii="Arial" w:cs="Arial" w:eastAsia="Arial" w:hAnsi="Arial"/>
          <w:sz w:val="17"/>
          <w:szCs w:val="17"/>
          <w:u w:val="single" w:color="auto"/>
          <w:color w:val="0000EE"/>
        </w:rPr>
        <w:t xml:space="preserve"> </w:t>
      </w:r>
      <w:hyperlink r:id="rId161">
        <w:r>
          <w:rPr>
            <w:rFonts w:ascii="Arial" w:cs="Arial" w:eastAsia="Arial" w:hAnsi="Arial"/>
            <w:sz w:val="17"/>
            <w:szCs w:val="17"/>
            <w:u w:val="single" w:color="auto"/>
            <w:color w:val="0000EE"/>
          </w:rPr>
          <w:t>Umbrella Agreement, dated August 27, 2019, by and between the Company and Aroa</w:t>
        </w:r>
      </w:hyperlink>
      <w:r>
        <w:rPr>
          <w:rFonts w:ascii="Arial" w:cs="Arial" w:eastAsia="Arial" w:hAnsi="Arial"/>
          <w:sz w:val="17"/>
          <w:szCs w:val="17"/>
          <w:u w:val="single" w:color="auto"/>
          <w:color w:val="0000EE"/>
        </w:rPr>
        <w:t xml:space="preserve"> </w:t>
      </w:r>
      <w:hyperlink r:id="rId161">
        <w:r>
          <w:rPr>
            <w:rFonts w:ascii="Arial" w:cs="Arial" w:eastAsia="Arial" w:hAnsi="Arial"/>
            <w:sz w:val="17"/>
            <w:szCs w:val="17"/>
            <w:u w:val="single" w:color="auto"/>
            <w:color w:val="0000EE"/>
          </w:rPr>
          <w:t>Biosurgery Ltd. (incorporated by reference to exhibit 10.22 to the Company’s Annual Report on</w:t>
        </w:r>
      </w:hyperlink>
      <w:r>
        <w:rPr>
          <w:rFonts w:ascii="Arial" w:cs="Arial" w:eastAsia="Arial" w:hAnsi="Arial"/>
          <w:sz w:val="17"/>
          <w:szCs w:val="17"/>
          <w:u w:val="single" w:color="auto"/>
          <w:color w:val="0000EE"/>
        </w:rPr>
        <w:t xml:space="preserve"> </w:t>
      </w:r>
      <w:hyperlink r:id="rId161">
        <w:r>
          <w:rPr>
            <w:rFonts w:ascii="Arial" w:cs="Arial" w:eastAsia="Arial" w:hAnsi="Arial"/>
            <w:sz w:val="17"/>
            <w:szCs w:val="17"/>
            <w:u w:val="single" w:color="auto"/>
            <w:color w:val="0000EE"/>
          </w:rPr>
          <w:t>Form 10-K filed on March 30, 2020)</w:t>
        </w:r>
      </w:hyperlink>
    </w:p>
    <w:p>
      <w:pPr>
        <w:spacing w:after="0" w:line="18" w:lineRule="exact"/>
        <w:rPr>
          <w:rFonts w:ascii="Arial" w:cs="Arial" w:eastAsia="Arial" w:hAnsi="Arial"/>
          <w:sz w:val="17"/>
          <w:szCs w:val="17"/>
          <w:u w:val="single" w:color="auto"/>
          <w:color w:val="0000EE"/>
        </w:rPr>
      </w:pPr>
    </w:p>
    <w:p>
      <w:pPr>
        <w:ind w:left="2120" w:right="939" w:hanging="863"/>
        <w:spacing w:after="0" w:line="268" w:lineRule="auto"/>
        <w:tabs>
          <w:tab w:leader="none" w:pos="2100" w:val="left"/>
        </w:tabs>
        <w:rPr>
          <w:rFonts w:ascii="Arial" w:cs="Arial" w:eastAsia="Arial" w:hAnsi="Arial"/>
          <w:sz w:val="17"/>
          <w:szCs w:val="17"/>
          <w:u w:val="single" w:color="auto"/>
          <w:color w:val="0000EE"/>
        </w:rPr>
      </w:pPr>
      <w:hyperlink r:id="rId162">
        <w:r>
          <w:rPr>
            <w:rFonts w:ascii="Arial" w:cs="Arial" w:eastAsia="Arial" w:hAnsi="Arial"/>
            <w:sz w:val="17"/>
            <w:szCs w:val="17"/>
            <w:u w:val="single" w:color="auto"/>
            <w:color w:val="0000EE"/>
          </w:rPr>
          <w:t>10.23#</w:t>
        </w:r>
      </w:hyperlink>
      <w:r>
        <w:rPr>
          <w:rFonts w:ascii="Arial" w:cs="Arial" w:eastAsia="Arial" w:hAnsi="Arial"/>
          <w:sz w:val="17"/>
          <w:szCs w:val="17"/>
          <w:u w:val="single" w:color="auto"/>
          <w:color w:val="0000EE"/>
        </w:rPr>
        <w:tab/>
      </w:r>
      <w:hyperlink r:id="rId162">
        <w:r>
          <w:rPr>
            <w:rFonts w:ascii="Arial" w:cs="Arial" w:eastAsia="Arial" w:hAnsi="Arial"/>
            <w:sz w:val="17"/>
            <w:szCs w:val="17"/>
            <w:u w:val="single" w:color="auto"/>
            <w:color w:val="0000EE"/>
          </w:rPr>
          <w:t>Addendum to the Second Amended and Restated License, Product Development and Supply</w:t>
        </w:r>
      </w:hyperlink>
      <w:r>
        <w:rPr>
          <w:rFonts w:ascii="Arial" w:cs="Arial" w:eastAsia="Arial" w:hAnsi="Arial"/>
          <w:sz w:val="17"/>
          <w:szCs w:val="17"/>
          <w:u w:val="single" w:color="auto"/>
          <w:color w:val="0000EE"/>
        </w:rPr>
        <w:t xml:space="preserve"> </w:t>
      </w:r>
      <w:hyperlink r:id="rId162">
        <w:r>
          <w:rPr>
            <w:rFonts w:ascii="Arial" w:cs="Arial" w:eastAsia="Arial" w:hAnsi="Arial"/>
            <w:sz w:val="17"/>
            <w:szCs w:val="17"/>
            <w:u w:val="single" w:color="auto"/>
            <w:color w:val="0000EE"/>
          </w:rPr>
          <w:t>Agreement, dated February 15, 2020, by and between the Company and Aroa Biosurgery</w:t>
        </w:r>
      </w:hyperlink>
      <w:r>
        <w:rPr>
          <w:rFonts w:ascii="Arial" w:cs="Arial" w:eastAsia="Arial" w:hAnsi="Arial"/>
          <w:sz w:val="17"/>
          <w:szCs w:val="17"/>
          <w:u w:val="single" w:color="auto"/>
          <w:color w:val="0000EE"/>
        </w:rPr>
        <w:t xml:space="preserve"> </w:t>
      </w:r>
      <w:hyperlink r:id="rId162">
        <w:r>
          <w:rPr>
            <w:rFonts w:ascii="Arial" w:cs="Arial" w:eastAsia="Arial" w:hAnsi="Arial"/>
            <w:sz w:val="17"/>
            <w:szCs w:val="17"/>
            <w:u w:val="single" w:color="auto"/>
            <w:color w:val="0000EE"/>
          </w:rPr>
          <w:t>Limited (incorporated by reference to exhibit 10.2 to the Company’s Quarterly Report on Form</w:t>
        </w:r>
      </w:hyperlink>
      <w:r>
        <w:rPr>
          <w:rFonts w:ascii="Arial" w:cs="Arial" w:eastAsia="Arial" w:hAnsi="Arial"/>
          <w:sz w:val="17"/>
          <w:szCs w:val="17"/>
          <w:u w:val="single" w:color="auto"/>
          <w:color w:val="0000EE"/>
        </w:rPr>
        <w:t xml:space="preserve"> </w:t>
      </w:r>
      <w:hyperlink r:id="rId162">
        <w:r>
          <w:rPr>
            <w:rFonts w:ascii="Arial" w:cs="Arial" w:eastAsia="Arial" w:hAnsi="Arial"/>
            <w:sz w:val="17"/>
            <w:szCs w:val="17"/>
            <w:u w:val="single" w:color="auto"/>
            <w:color w:val="0000EE"/>
          </w:rPr>
          <w:t>10-Q filed on May 15, 2020)</w:t>
        </w:r>
      </w:hyperlink>
    </w:p>
    <w:p>
      <w:pPr>
        <w:spacing w:after="0" w:line="18" w:lineRule="exact"/>
        <w:rPr>
          <w:rFonts w:ascii="Arial" w:cs="Arial" w:eastAsia="Arial" w:hAnsi="Arial"/>
          <w:sz w:val="17"/>
          <w:szCs w:val="17"/>
          <w:u w:val="single" w:color="auto"/>
          <w:color w:val="0000EE"/>
        </w:rPr>
      </w:pPr>
    </w:p>
    <w:p>
      <w:pPr>
        <w:jc w:val="both"/>
        <w:ind w:left="2120" w:right="739" w:hanging="863"/>
        <w:spacing w:after="0" w:line="270" w:lineRule="auto"/>
        <w:tabs>
          <w:tab w:leader="none" w:pos="2100" w:val="left"/>
        </w:tabs>
        <w:rPr>
          <w:rFonts w:ascii="Arial" w:cs="Arial" w:eastAsia="Arial" w:hAnsi="Arial"/>
          <w:sz w:val="17"/>
          <w:szCs w:val="17"/>
          <w:u w:val="single" w:color="auto"/>
          <w:color w:val="0000EE"/>
        </w:rPr>
      </w:pPr>
      <w:hyperlink r:id="rId163">
        <w:r>
          <w:rPr>
            <w:rFonts w:ascii="Arial" w:cs="Arial" w:eastAsia="Arial" w:hAnsi="Arial"/>
            <w:sz w:val="17"/>
            <w:szCs w:val="17"/>
            <w:u w:val="single" w:color="auto"/>
            <w:color w:val="0000EE"/>
          </w:rPr>
          <w:t>10.24</w:t>
        </w:r>
      </w:hyperlink>
      <w:r>
        <w:rPr>
          <w:rFonts w:ascii="Arial" w:cs="Arial" w:eastAsia="Arial" w:hAnsi="Arial"/>
          <w:sz w:val="17"/>
          <w:szCs w:val="17"/>
          <w:u w:val="single" w:color="auto"/>
          <w:color w:val="0000EE"/>
        </w:rPr>
        <w:tab/>
      </w:r>
      <w:hyperlink r:id="rId163">
        <w:r>
          <w:rPr>
            <w:rFonts w:ascii="Arial" w:cs="Arial" w:eastAsia="Arial" w:hAnsi="Arial"/>
            <w:sz w:val="17"/>
            <w:szCs w:val="17"/>
            <w:u w:val="single" w:color="auto"/>
            <w:color w:val="0000EE"/>
          </w:rPr>
          <w:t>Lease between the Company and Liberty Property Limited Partnership, dated January 31, 2013</w:t>
        </w:r>
      </w:hyperlink>
      <w:r>
        <w:rPr>
          <w:rFonts w:ascii="Arial" w:cs="Arial" w:eastAsia="Arial" w:hAnsi="Arial"/>
          <w:sz w:val="17"/>
          <w:szCs w:val="17"/>
          <w:u w:val="single" w:color="auto"/>
          <w:color w:val="0000EE"/>
        </w:rPr>
        <w:t xml:space="preserve"> </w:t>
      </w:r>
      <w:hyperlink r:id="rId163">
        <w:r>
          <w:rPr>
            <w:rFonts w:ascii="Arial" w:cs="Arial" w:eastAsia="Arial" w:hAnsi="Arial"/>
            <w:sz w:val="17"/>
            <w:szCs w:val="17"/>
            <w:u w:val="single" w:color="auto"/>
            <w:color w:val="0000EE"/>
          </w:rPr>
          <w:t>(incorporated by reference to exhibit 10.26 to the Company’s Registration Statement on Form S-</w:t>
        </w:r>
      </w:hyperlink>
      <w:hyperlink r:id="rId163">
        <w:r>
          <w:rPr>
            <w:rFonts w:ascii="Arial" w:cs="Arial" w:eastAsia="Arial" w:hAnsi="Arial"/>
            <w:sz w:val="17"/>
            <w:szCs w:val="17"/>
            <w:u w:val="single" w:color="auto"/>
            <w:color w:val="0000EE"/>
          </w:rPr>
          <w:t>1 (File No. 333-234217), dated November 7, 2019)</w:t>
        </w:r>
      </w:hyperlink>
    </w:p>
    <w:p>
      <w:pPr>
        <w:spacing w:after="0" w:line="15" w:lineRule="exact"/>
        <w:rPr>
          <w:rFonts w:ascii="Arial" w:cs="Arial" w:eastAsia="Arial" w:hAnsi="Arial"/>
          <w:sz w:val="17"/>
          <w:szCs w:val="17"/>
          <w:u w:val="single" w:color="auto"/>
          <w:color w:val="0000EE"/>
        </w:rPr>
      </w:pPr>
    </w:p>
    <w:p>
      <w:pPr>
        <w:ind w:left="2120" w:right="1219" w:hanging="863"/>
        <w:spacing w:after="0" w:line="270" w:lineRule="auto"/>
        <w:tabs>
          <w:tab w:leader="none" w:pos="2100" w:val="left"/>
        </w:tabs>
        <w:rPr>
          <w:rFonts w:ascii="Arial" w:cs="Arial" w:eastAsia="Arial" w:hAnsi="Arial"/>
          <w:sz w:val="17"/>
          <w:szCs w:val="17"/>
          <w:u w:val="single" w:color="auto"/>
          <w:color w:val="0000EE"/>
        </w:rPr>
      </w:pPr>
      <w:hyperlink r:id="rId164">
        <w:r>
          <w:rPr>
            <w:rFonts w:ascii="Arial" w:cs="Arial" w:eastAsia="Arial" w:hAnsi="Arial"/>
            <w:sz w:val="17"/>
            <w:szCs w:val="17"/>
            <w:u w:val="single" w:color="auto"/>
            <w:color w:val="0000EE"/>
          </w:rPr>
          <w:t>10.25</w:t>
        </w:r>
      </w:hyperlink>
      <w:r>
        <w:rPr>
          <w:rFonts w:ascii="Arial" w:cs="Arial" w:eastAsia="Arial" w:hAnsi="Arial"/>
          <w:sz w:val="17"/>
          <w:szCs w:val="17"/>
          <w:u w:val="single" w:color="auto"/>
          <w:color w:val="0000EE"/>
        </w:rPr>
        <w:tab/>
      </w:r>
      <w:hyperlink r:id="rId164">
        <w:r>
          <w:rPr>
            <w:rFonts w:ascii="Arial" w:cs="Arial" w:eastAsia="Arial" w:hAnsi="Arial"/>
            <w:sz w:val="17"/>
            <w:szCs w:val="17"/>
            <w:u w:val="single" w:color="auto"/>
            <w:color w:val="0000EE"/>
          </w:rPr>
          <w:t>First Amendment to Lease between the Company and Liberty Property Partnership, dated</w:t>
        </w:r>
      </w:hyperlink>
      <w:r>
        <w:rPr>
          <w:rFonts w:ascii="Arial" w:cs="Arial" w:eastAsia="Arial" w:hAnsi="Arial"/>
          <w:sz w:val="17"/>
          <w:szCs w:val="17"/>
          <w:u w:val="single" w:color="auto"/>
          <w:color w:val="0000EE"/>
        </w:rPr>
        <w:t xml:space="preserve"> </w:t>
      </w:r>
      <w:hyperlink r:id="rId164">
        <w:r>
          <w:rPr>
            <w:rFonts w:ascii="Arial" w:cs="Arial" w:eastAsia="Arial" w:hAnsi="Arial"/>
            <w:sz w:val="17"/>
            <w:szCs w:val="17"/>
            <w:u w:val="single" w:color="auto"/>
            <w:color w:val="0000EE"/>
          </w:rPr>
          <w:t>June 19, 2014 (incorporated by reference to exhibit 10.27 to the Company’s Registration</w:t>
        </w:r>
      </w:hyperlink>
      <w:r>
        <w:rPr>
          <w:rFonts w:ascii="Arial" w:cs="Arial" w:eastAsia="Arial" w:hAnsi="Arial"/>
          <w:sz w:val="17"/>
          <w:szCs w:val="17"/>
          <w:u w:val="single" w:color="auto"/>
          <w:color w:val="0000EE"/>
        </w:rPr>
        <w:t xml:space="preserve"> </w:t>
      </w:r>
      <w:hyperlink r:id="rId164">
        <w:r>
          <w:rPr>
            <w:rFonts w:ascii="Arial" w:cs="Arial" w:eastAsia="Arial" w:hAnsi="Arial"/>
            <w:sz w:val="17"/>
            <w:szCs w:val="17"/>
            <w:u w:val="single" w:color="auto"/>
            <w:color w:val="0000EE"/>
          </w:rPr>
          <w:t>Statement on Form S-1 (File No. 333-234217), dated November 7, 2019)</w:t>
        </w:r>
      </w:hyperlink>
    </w:p>
    <w:p>
      <w:pPr>
        <w:spacing w:after="0" w:line="200" w:lineRule="exact"/>
        <w:rPr>
          <w:rFonts w:ascii="Arial" w:cs="Arial" w:eastAsia="Arial" w:hAnsi="Arial"/>
          <w:sz w:val="17"/>
          <w:szCs w:val="17"/>
          <w:u w:val="single" w:color="auto"/>
          <w:color w:val="0000EE"/>
        </w:rPr>
      </w:pPr>
    </w:p>
    <w:p>
      <w:pPr>
        <w:spacing w:after="0" w:line="215" w:lineRule="exact"/>
        <w:rPr>
          <w:rFonts w:ascii="Arial" w:cs="Arial" w:eastAsia="Arial" w:hAnsi="Arial"/>
          <w:sz w:val="17"/>
          <w:szCs w:val="17"/>
          <w:u w:val="single" w:color="auto"/>
          <w:color w:val="0000EE"/>
        </w:rPr>
      </w:pPr>
    </w:p>
    <w:p>
      <w:pPr>
        <w:ind w:left="5240"/>
        <w:spacing w:after="0"/>
        <w:rPr>
          <w:sz w:val="20"/>
          <w:szCs w:val="20"/>
          <w:color w:val="auto"/>
        </w:rPr>
      </w:pPr>
      <w:r>
        <w:rPr>
          <w:rFonts w:ascii="Arial" w:cs="Arial" w:eastAsia="Arial" w:hAnsi="Arial"/>
          <w:sz w:val="16"/>
          <w:szCs w:val="16"/>
          <w:color w:val="auto"/>
        </w:rPr>
        <w:t>II-5</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120" w:right="839" w:hanging="836"/>
        <w:spacing w:after="0" w:line="268" w:lineRule="auto"/>
        <w:tabs>
          <w:tab w:leader="none" w:pos="2100" w:val="left"/>
        </w:tabs>
        <w:rPr>
          <w:rFonts w:ascii="Arial" w:cs="Arial" w:eastAsia="Arial" w:hAnsi="Arial"/>
          <w:sz w:val="17"/>
          <w:szCs w:val="17"/>
          <w:u w:val="single" w:color="auto"/>
          <w:color w:val="0000EE"/>
        </w:rPr>
      </w:pPr>
      <w:hyperlink r:id="rId166">
        <w:r>
          <w:rPr>
            <w:rFonts w:ascii="Arial" w:cs="Arial" w:eastAsia="Arial" w:hAnsi="Arial"/>
            <w:sz w:val="17"/>
            <w:szCs w:val="17"/>
            <w:u w:val="single" w:color="auto"/>
            <w:color w:val="0000EE"/>
          </w:rPr>
          <w:t>10.26</w:t>
        </w:r>
      </w:hyperlink>
      <w:r>
        <w:rPr>
          <w:rFonts w:ascii="Arial" w:cs="Arial" w:eastAsia="Arial" w:hAnsi="Arial"/>
          <w:sz w:val="17"/>
          <w:szCs w:val="17"/>
          <w:u w:val="single" w:color="auto"/>
          <w:color w:val="0000EE"/>
        </w:rPr>
        <w:tab/>
      </w:r>
      <w:hyperlink r:id="rId166">
        <w:r>
          <w:rPr>
            <w:rFonts w:ascii="Arial" w:cs="Arial" w:eastAsia="Arial" w:hAnsi="Arial"/>
            <w:sz w:val="17"/>
            <w:szCs w:val="17"/>
            <w:u w:val="single" w:color="auto"/>
            <w:color w:val="0000EE"/>
          </w:rPr>
          <w:t>Second Amendment to Lease between the Company and WPT Land 2 LP (as successor in</w:t>
        </w:r>
      </w:hyperlink>
      <w:r>
        <w:rPr>
          <w:rFonts w:ascii="Arial" w:cs="Arial" w:eastAsia="Arial" w:hAnsi="Arial"/>
          <w:sz w:val="17"/>
          <w:szCs w:val="17"/>
          <w:u w:val="single" w:color="auto"/>
          <w:color w:val="0000EE"/>
        </w:rPr>
        <w:t xml:space="preserve"> </w:t>
      </w:r>
      <w:hyperlink r:id="rId166">
        <w:r>
          <w:rPr>
            <w:rFonts w:ascii="Arial" w:cs="Arial" w:eastAsia="Arial" w:hAnsi="Arial"/>
            <w:sz w:val="17"/>
            <w:szCs w:val="17"/>
            <w:u w:val="single" w:color="auto"/>
            <w:color w:val="0000EE"/>
          </w:rPr>
          <w:t>interest to Liberty Property Limited Partnership), dated January 17, 2018 (incorporated by</w:t>
        </w:r>
      </w:hyperlink>
      <w:r>
        <w:rPr>
          <w:rFonts w:ascii="Arial" w:cs="Arial" w:eastAsia="Arial" w:hAnsi="Arial"/>
          <w:sz w:val="17"/>
          <w:szCs w:val="17"/>
          <w:u w:val="single" w:color="auto"/>
          <w:color w:val="0000EE"/>
        </w:rPr>
        <w:t xml:space="preserve"> </w:t>
      </w:r>
      <w:hyperlink r:id="rId166">
        <w:r>
          <w:rPr>
            <w:rFonts w:ascii="Arial" w:cs="Arial" w:eastAsia="Arial" w:hAnsi="Arial"/>
            <w:sz w:val="17"/>
            <w:szCs w:val="17"/>
            <w:u w:val="single" w:color="auto"/>
            <w:color w:val="0000EE"/>
          </w:rPr>
          <w:t>reference to exhibit 10.28 to the Company’s Registration Statement on Form S-1 (File No. 333-</w:t>
        </w:r>
      </w:hyperlink>
      <w:hyperlink r:id="rId166">
        <w:r>
          <w:rPr>
            <w:rFonts w:ascii="Arial" w:cs="Arial" w:eastAsia="Arial" w:hAnsi="Arial"/>
            <w:sz w:val="17"/>
            <w:szCs w:val="17"/>
            <w:u w:val="single" w:color="auto"/>
            <w:color w:val="0000EE"/>
          </w:rPr>
          <w:t>234217), dated November 7, 2019)</w:t>
        </w:r>
      </w:hyperlink>
    </w:p>
    <w:p>
      <w:pPr>
        <w:spacing w:after="0" w:line="18" w:lineRule="exact"/>
        <w:rPr>
          <w:rFonts w:ascii="Arial" w:cs="Arial" w:eastAsia="Arial" w:hAnsi="Arial"/>
          <w:sz w:val="17"/>
          <w:szCs w:val="17"/>
          <w:u w:val="single" w:color="auto"/>
          <w:color w:val="0000EE"/>
        </w:rPr>
      </w:pPr>
    </w:p>
    <w:p>
      <w:pPr>
        <w:ind w:left="2120" w:right="979" w:hanging="836"/>
        <w:spacing w:after="0" w:line="270" w:lineRule="auto"/>
        <w:tabs>
          <w:tab w:leader="none" w:pos="2100" w:val="left"/>
        </w:tabs>
        <w:rPr>
          <w:rFonts w:ascii="Arial" w:cs="Arial" w:eastAsia="Arial" w:hAnsi="Arial"/>
          <w:sz w:val="17"/>
          <w:szCs w:val="17"/>
          <w:u w:val="single" w:color="auto"/>
          <w:color w:val="0000EE"/>
        </w:rPr>
      </w:pPr>
      <w:hyperlink r:id="rId167">
        <w:r>
          <w:rPr>
            <w:rFonts w:ascii="Arial" w:cs="Arial" w:eastAsia="Arial" w:hAnsi="Arial"/>
            <w:sz w:val="17"/>
            <w:szCs w:val="17"/>
            <w:u w:val="single" w:color="auto"/>
            <w:color w:val="0000EE"/>
          </w:rPr>
          <w:t>10.27</w:t>
        </w:r>
      </w:hyperlink>
      <w:r>
        <w:rPr>
          <w:rFonts w:ascii="Arial" w:cs="Arial" w:eastAsia="Arial" w:hAnsi="Arial"/>
          <w:sz w:val="17"/>
          <w:szCs w:val="17"/>
          <w:u w:val="single" w:color="auto"/>
          <w:color w:val="0000EE"/>
        </w:rPr>
        <w:tab/>
      </w:r>
      <w:hyperlink r:id="rId167">
        <w:r>
          <w:rPr>
            <w:rFonts w:ascii="Arial" w:cs="Arial" w:eastAsia="Arial" w:hAnsi="Arial"/>
            <w:sz w:val="17"/>
            <w:szCs w:val="17"/>
            <w:u w:val="single" w:color="auto"/>
            <w:color w:val="0000EE"/>
          </w:rPr>
          <w:t>Employment Agreement, dated January 17, 2020, by and between the Company and Peter</w:t>
        </w:r>
      </w:hyperlink>
      <w:r>
        <w:rPr>
          <w:rFonts w:ascii="Arial" w:cs="Arial" w:eastAsia="Arial" w:hAnsi="Arial"/>
          <w:sz w:val="17"/>
          <w:szCs w:val="17"/>
          <w:u w:val="single" w:color="auto"/>
          <w:color w:val="0000EE"/>
        </w:rPr>
        <w:t xml:space="preserve"> </w:t>
      </w:r>
      <w:hyperlink r:id="rId167">
        <w:r>
          <w:rPr>
            <w:rFonts w:ascii="Arial" w:cs="Arial" w:eastAsia="Arial" w:hAnsi="Arial"/>
            <w:sz w:val="17"/>
            <w:szCs w:val="17"/>
            <w:u w:val="single" w:color="auto"/>
            <w:color w:val="0000EE"/>
          </w:rPr>
          <w:t>Murphy (incorporated by reference to exhibit 10.26 to the Company’s Annual Report on Form</w:t>
        </w:r>
      </w:hyperlink>
      <w:r>
        <w:rPr>
          <w:rFonts w:ascii="Arial" w:cs="Arial" w:eastAsia="Arial" w:hAnsi="Arial"/>
          <w:sz w:val="17"/>
          <w:szCs w:val="17"/>
          <w:u w:val="single" w:color="auto"/>
          <w:color w:val="0000EE"/>
        </w:rPr>
        <w:t xml:space="preserve"> </w:t>
      </w:r>
      <w:hyperlink r:id="rId167">
        <w:r>
          <w:rPr>
            <w:rFonts w:ascii="Arial" w:cs="Arial" w:eastAsia="Arial" w:hAnsi="Arial"/>
            <w:sz w:val="17"/>
            <w:szCs w:val="17"/>
            <w:u w:val="single" w:color="auto"/>
            <w:color w:val="0000EE"/>
          </w:rPr>
          <w:t>10-K filed on March 30, 2020)</w:t>
        </w:r>
      </w:hyperlink>
    </w:p>
    <w:p>
      <w:pPr>
        <w:spacing w:after="0" w:line="15" w:lineRule="exact"/>
        <w:rPr>
          <w:rFonts w:ascii="Arial" w:cs="Arial" w:eastAsia="Arial" w:hAnsi="Arial"/>
          <w:sz w:val="17"/>
          <w:szCs w:val="17"/>
          <w:u w:val="single" w:color="auto"/>
          <w:color w:val="0000EE"/>
        </w:rPr>
      </w:pPr>
    </w:p>
    <w:p>
      <w:pPr>
        <w:ind w:left="2120" w:right="1239" w:hanging="836"/>
        <w:spacing w:after="0" w:line="276" w:lineRule="auto"/>
        <w:tabs>
          <w:tab w:leader="none" w:pos="2100" w:val="left"/>
        </w:tabs>
        <w:rPr>
          <w:rFonts w:ascii="Arial" w:cs="Arial" w:eastAsia="Arial" w:hAnsi="Arial"/>
          <w:sz w:val="17"/>
          <w:szCs w:val="17"/>
          <w:u w:val="single" w:color="auto"/>
          <w:color w:val="0000EE"/>
        </w:rPr>
      </w:pPr>
      <w:hyperlink r:id="rId168">
        <w:r>
          <w:rPr>
            <w:rFonts w:ascii="Arial" w:cs="Arial" w:eastAsia="Arial" w:hAnsi="Arial"/>
            <w:sz w:val="17"/>
            <w:szCs w:val="17"/>
            <w:u w:val="single" w:color="auto"/>
            <w:color w:val="0000EE"/>
          </w:rPr>
          <w:t>21.1</w:t>
        </w:r>
      </w:hyperlink>
      <w:r>
        <w:rPr>
          <w:rFonts w:ascii="Arial" w:cs="Arial" w:eastAsia="Arial" w:hAnsi="Arial"/>
          <w:sz w:val="17"/>
          <w:szCs w:val="17"/>
          <w:u w:val="single" w:color="auto"/>
          <w:color w:val="0000EE"/>
        </w:rPr>
        <w:tab/>
      </w:r>
      <w:hyperlink r:id="rId168">
        <w:r>
          <w:rPr>
            <w:rFonts w:ascii="Arial" w:cs="Arial" w:eastAsia="Arial" w:hAnsi="Arial"/>
            <w:sz w:val="17"/>
            <w:szCs w:val="17"/>
            <w:u w:val="single" w:color="auto"/>
            <w:color w:val="0000EE"/>
          </w:rPr>
          <w:t>Subsidiaries of the Registrant (incorporated by reference to exhibit 21.1 to the Company’s</w:t>
        </w:r>
      </w:hyperlink>
      <w:r>
        <w:rPr>
          <w:rFonts w:ascii="Arial" w:cs="Arial" w:eastAsia="Arial" w:hAnsi="Arial"/>
          <w:sz w:val="17"/>
          <w:szCs w:val="17"/>
          <w:u w:val="single" w:color="auto"/>
          <w:color w:val="0000EE"/>
        </w:rPr>
        <w:t xml:space="preserve"> </w:t>
      </w:r>
      <w:hyperlink r:id="rId168">
        <w:r>
          <w:rPr>
            <w:rFonts w:ascii="Arial" w:cs="Arial" w:eastAsia="Arial" w:hAnsi="Arial"/>
            <w:sz w:val="17"/>
            <w:szCs w:val="17"/>
            <w:u w:val="single" w:color="auto"/>
            <w:color w:val="0000EE"/>
          </w:rPr>
          <w:t>Registration Statement on Form S-1 (File No. 333-234217), dated November 7, 2019)</w:t>
        </w:r>
      </w:hyperlink>
    </w:p>
    <w:p>
      <w:pPr>
        <w:spacing w:after="0" w:line="9" w:lineRule="exact"/>
        <w:rPr>
          <w:rFonts w:ascii="Arial" w:cs="Arial" w:eastAsia="Arial" w:hAnsi="Arial"/>
          <w:sz w:val="17"/>
          <w:szCs w:val="17"/>
          <w:u w:val="single" w:color="auto"/>
          <w:color w:val="0000EE"/>
        </w:rPr>
      </w:pPr>
    </w:p>
    <w:p>
      <w:pPr>
        <w:ind w:left="1280"/>
        <w:spacing w:after="0"/>
        <w:tabs>
          <w:tab w:leader="none" w:pos="2100" w:val="left"/>
        </w:tabs>
        <w:rPr>
          <w:rFonts w:ascii="Arial" w:cs="Arial" w:eastAsia="Arial" w:hAnsi="Arial"/>
          <w:sz w:val="17"/>
          <w:szCs w:val="17"/>
          <w:u w:val="single" w:color="auto"/>
          <w:color w:val="0000EE"/>
        </w:rPr>
      </w:pPr>
      <w:hyperlink w:anchor="page109">
        <w:r>
          <w:rPr>
            <w:rFonts w:ascii="Arial" w:cs="Arial" w:eastAsia="Arial" w:hAnsi="Arial"/>
            <w:sz w:val="17"/>
            <w:szCs w:val="17"/>
            <w:u w:val="single" w:color="auto"/>
            <w:color w:val="0000EE"/>
          </w:rPr>
          <w:t>23.1*</w:t>
        </w:r>
      </w:hyperlink>
      <w:r>
        <w:rPr>
          <w:rFonts w:ascii="Arial" w:cs="Arial" w:eastAsia="Arial" w:hAnsi="Arial"/>
          <w:sz w:val="17"/>
          <w:szCs w:val="17"/>
          <w:u w:val="single" w:color="auto"/>
          <w:color w:val="0000EE"/>
        </w:rPr>
        <w:tab/>
      </w:r>
      <w:hyperlink w:anchor="page109">
        <w:r>
          <w:rPr>
            <w:rFonts w:ascii="Arial" w:cs="Arial" w:eastAsia="Arial" w:hAnsi="Arial"/>
            <w:sz w:val="17"/>
            <w:szCs w:val="17"/>
            <w:u w:val="single" w:color="auto"/>
            <w:color w:val="0000EE"/>
          </w:rPr>
          <w:t>Consent of KPMG LLP</w:t>
        </w:r>
      </w:hyperlink>
    </w:p>
    <w:p>
      <w:pPr>
        <w:spacing w:after="0" w:line="34" w:lineRule="exact"/>
        <w:rPr>
          <w:sz w:val="20"/>
          <w:szCs w:val="20"/>
          <w:color w:val="auto"/>
        </w:rPr>
      </w:pPr>
    </w:p>
    <w:p>
      <w:pPr>
        <w:ind w:left="1280"/>
        <w:spacing w:after="0"/>
        <w:tabs>
          <w:tab w:leader="none" w:pos="2100" w:val="left"/>
        </w:tabs>
        <w:rPr>
          <w:rFonts w:ascii="Arial" w:cs="Arial" w:eastAsia="Arial" w:hAnsi="Arial"/>
          <w:sz w:val="17"/>
          <w:szCs w:val="17"/>
          <w:u w:val="single" w:color="auto"/>
          <w:color w:val="0000EE"/>
        </w:rPr>
      </w:pPr>
      <w:hyperlink w:anchor="page107">
        <w:r>
          <w:rPr>
            <w:rFonts w:ascii="Arial" w:cs="Arial" w:eastAsia="Arial" w:hAnsi="Arial"/>
            <w:sz w:val="17"/>
            <w:szCs w:val="17"/>
            <w:u w:val="single" w:color="auto"/>
            <w:color w:val="0000EE"/>
          </w:rPr>
          <w:t>23.2*</w:t>
        </w:r>
      </w:hyperlink>
      <w:r>
        <w:rPr>
          <w:rFonts w:ascii="Arial" w:cs="Arial" w:eastAsia="Arial" w:hAnsi="Arial"/>
          <w:sz w:val="17"/>
          <w:szCs w:val="17"/>
          <w:u w:val="single" w:color="auto"/>
          <w:color w:val="0000EE"/>
        </w:rPr>
        <w:tab/>
      </w:r>
      <w:hyperlink w:anchor="page107">
        <w:r>
          <w:rPr>
            <w:rFonts w:ascii="Arial" w:cs="Arial" w:eastAsia="Arial" w:hAnsi="Arial"/>
            <w:sz w:val="17"/>
            <w:szCs w:val="17"/>
            <w:u w:val="single" w:color="auto"/>
            <w:color w:val="0000EE"/>
          </w:rPr>
          <w:t>Consent of Pepper Hamilton LLP (included in Exhibit 5.1)</w:t>
        </w:r>
      </w:hyperlink>
    </w:p>
    <w:p>
      <w:pPr>
        <w:spacing w:after="0" w:line="34" w:lineRule="exact"/>
        <w:rPr>
          <w:sz w:val="20"/>
          <w:szCs w:val="20"/>
          <w:color w:val="auto"/>
        </w:rPr>
      </w:pPr>
    </w:p>
    <w:p>
      <w:pPr>
        <w:ind w:left="1280"/>
        <w:spacing w:after="0"/>
        <w:tabs>
          <w:tab w:leader="none" w:pos="2100" w:val="left"/>
        </w:tabs>
        <w:rPr>
          <w:rFonts w:ascii="Arial" w:cs="Arial" w:eastAsia="Arial" w:hAnsi="Arial"/>
          <w:sz w:val="17"/>
          <w:szCs w:val="17"/>
          <w:u w:val="single" w:color="auto"/>
          <w:color w:val="0000EE"/>
        </w:rPr>
      </w:pPr>
      <w:hyperlink w:anchor="page56">
        <w:r>
          <w:rPr>
            <w:rFonts w:ascii="Arial" w:cs="Arial" w:eastAsia="Arial" w:hAnsi="Arial"/>
            <w:sz w:val="17"/>
            <w:szCs w:val="17"/>
            <w:u w:val="single" w:color="auto"/>
            <w:color w:val="0000EE"/>
          </w:rPr>
          <w:t>24.1*</w:t>
        </w:r>
      </w:hyperlink>
      <w:r>
        <w:rPr>
          <w:rFonts w:ascii="Arial" w:cs="Arial" w:eastAsia="Arial" w:hAnsi="Arial"/>
          <w:sz w:val="17"/>
          <w:szCs w:val="17"/>
          <w:u w:val="single" w:color="auto"/>
          <w:color w:val="0000EE"/>
        </w:rPr>
        <w:tab/>
      </w:r>
      <w:hyperlink w:anchor="page56">
        <w:r>
          <w:rPr>
            <w:rFonts w:ascii="Arial" w:cs="Arial" w:eastAsia="Arial" w:hAnsi="Arial"/>
            <w:sz w:val="17"/>
            <w:szCs w:val="17"/>
            <w:u w:val="single" w:color="auto"/>
            <w:color w:val="0000EE"/>
          </w:rPr>
          <w:t>Power of Attorney (included on signature page to this Registration Statement on Form S-1)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102870</wp:posOffset>
            </wp:positionV>
            <wp:extent cx="52120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44" w:lineRule="exact"/>
        <w:rPr>
          <w:sz w:val="20"/>
          <w:szCs w:val="20"/>
          <w:color w:val="auto"/>
        </w:rPr>
      </w:pPr>
    </w:p>
    <w:p>
      <w:pPr>
        <w:ind w:left="1440" w:hanging="178"/>
        <w:spacing w:after="0"/>
        <w:tabs>
          <w:tab w:leader="none" w:pos="14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80" w:lineRule="exact"/>
        <w:rPr>
          <w:sz w:val="20"/>
          <w:szCs w:val="20"/>
          <w:color w:val="auto"/>
        </w:rPr>
      </w:pPr>
    </w:p>
    <w:p>
      <w:pPr>
        <w:ind w:left="1260"/>
        <w:spacing w:after="0"/>
        <w:tabs>
          <w:tab w:leader="none" w:pos="142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Certain confidential portions (indicated by brackets and asterisks) have been omitted from this exhibit.</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(b) Financial Statements Schedules:</w:t>
      </w:r>
    </w:p>
    <w:p>
      <w:pPr>
        <w:spacing w:after="0" w:line="122" w:lineRule="exact"/>
        <w:rPr>
          <w:sz w:val="20"/>
          <w:szCs w:val="20"/>
          <w:color w:val="auto"/>
        </w:rPr>
      </w:pPr>
    </w:p>
    <w:p>
      <w:pPr>
        <w:ind w:left="1260" w:right="779"/>
        <w:spacing w:after="0" w:line="276" w:lineRule="auto"/>
        <w:rPr>
          <w:sz w:val="20"/>
          <w:szCs w:val="20"/>
          <w:color w:val="auto"/>
        </w:rPr>
      </w:pPr>
      <w:r>
        <w:rPr>
          <w:rFonts w:ascii="Arial" w:cs="Arial" w:eastAsia="Arial" w:hAnsi="Arial"/>
          <w:sz w:val="17"/>
          <w:szCs w:val="17"/>
          <w:color w:val="auto"/>
        </w:rPr>
        <w:t>Schedules have been omitted because the information required to be set forth therein is not applicable or is shown in the financial statements or notes thereto.</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Item 17. Undertakings.</w:t>
      </w:r>
    </w:p>
    <w:p>
      <w:pPr>
        <w:spacing w:after="0" w:line="108" w:lineRule="exact"/>
        <w:rPr>
          <w:sz w:val="20"/>
          <w:szCs w:val="20"/>
          <w:color w:val="auto"/>
        </w:rPr>
      </w:pPr>
    </w:p>
    <w:p>
      <w:pPr>
        <w:ind w:left="1260" w:right="699"/>
        <w:spacing w:after="0" w:line="266" w:lineRule="auto"/>
        <w:rPr>
          <w:sz w:val="20"/>
          <w:szCs w:val="20"/>
          <w:color w:val="auto"/>
        </w:rPr>
      </w:pPr>
      <w:r>
        <w:rPr>
          <w:rFonts w:ascii="Arial" w:cs="Arial" w:eastAsia="Arial" w:hAnsi="Arial"/>
          <w:sz w:val="17"/>
          <w:szCs w:val="17"/>
          <w:color w:val="auto"/>
        </w:rPr>
        <w:t>Insofar as indemnification for liabilities arising under the Securities Act of 1933, as amended, or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Registrant hereby undertakes that:</w:t>
      </w:r>
    </w:p>
    <w:p>
      <w:pPr>
        <w:spacing w:after="0" w:line="156" w:lineRule="exact"/>
        <w:rPr>
          <w:sz w:val="20"/>
          <w:szCs w:val="20"/>
          <w:color w:val="auto"/>
        </w:rPr>
      </w:pPr>
    </w:p>
    <w:p>
      <w:pPr>
        <w:ind w:left="1620" w:right="699" w:firstLine="2"/>
        <w:spacing w:after="0" w:line="265" w:lineRule="auto"/>
        <w:tabs>
          <w:tab w:leader="none" w:pos="1971" w:val="left"/>
        </w:tabs>
        <w:numPr>
          <w:ilvl w:val="0"/>
          <w:numId w:val="46"/>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as amended, the information omitted from a form of prospectus filed as part of this registration statement in reliance upon Rule 430A and contained in the form of prospectus filed by the Registrant pursuant to Rule 424(b)(1) or</w:t>
      </w:r>
    </w:p>
    <w:p>
      <w:pPr>
        <w:ind w:left="1620" w:right="1439"/>
        <w:spacing w:after="0" w:line="276" w:lineRule="auto"/>
        <w:rPr>
          <w:rFonts w:ascii="Arial" w:cs="Arial" w:eastAsia="Arial" w:hAnsi="Arial"/>
          <w:sz w:val="17"/>
          <w:szCs w:val="17"/>
          <w:color w:val="auto"/>
        </w:rPr>
      </w:pPr>
      <w:r>
        <w:rPr>
          <w:rFonts w:ascii="Arial" w:cs="Arial" w:eastAsia="Arial" w:hAnsi="Arial"/>
          <w:sz w:val="17"/>
          <w:szCs w:val="17"/>
          <w:color w:val="auto"/>
        </w:rPr>
        <w:t>(4) or 497(h) under the Securities Act of 1933, as amended, shall be deemed to be part of this registration statement as of the time it was declared effective.</w:t>
      </w:r>
    </w:p>
    <w:p>
      <w:pPr>
        <w:spacing w:after="0" w:line="130" w:lineRule="exact"/>
        <w:rPr>
          <w:rFonts w:ascii="Arial" w:cs="Arial" w:eastAsia="Arial" w:hAnsi="Arial"/>
          <w:sz w:val="17"/>
          <w:szCs w:val="17"/>
          <w:color w:val="auto"/>
        </w:rPr>
      </w:pPr>
    </w:p>
    <w:p>
      <w:pPr>
        <w:ind w:left="1620" w:right="799" w:firstLine="2"/>
        <w:spacing w:after="0" w:line="268" w:lineRule="auto"/>
        <w:tabs>
          <w:tab w:leader="none" w:pos="1971" w:val="left"/>
        </w:tabs>
        <w:numPr>
          <w:ilvl w:val="0"/>
          <w:numId w:val="46"/>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SIGNATURES</w:t>
      </w:r>
    </w:p>
    <w:p>
      <w:pPr>
        <w:spacing w:after="0" w:line="363" w:lineRule="exact"/>
        <w:rPr>
          <w:sz w:val="20"/>
          <w:szCs w:val="20"/>
          <w:color w:val="auto"/>
        </w:rPr>
      </w:pPr>
    </w:p>
    <w:p>
      <w:pPr>
        <w:ind w:left="1260" w:right="759"/>
        <w:spacing w:after="0" w:line="270"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Borough of Malvern, Commonwealth of Pennsylvania, on the 23rd day of June, 2020.</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TELA BIO, INC.</w:t>
      </w:r>
    </w:p>
    <w:p>
      <w:pPr>
        <w:spacing w:after="0" w:line="18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/s/ Antony Koblish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42545</wp:posOffset>
            </wp:positionV>
            <wp:extent cx="22371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22"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Antony Koblish</w:t>
      </w:r>
    </w:p>
    <w:p>
      <w:pPr>
        <w:spacing w:after="0" w:line="21" w:lineRule="exact"/>
        <w:rPr>
          <w:sz w:val="20"/>
          <w:szCs w:val="20"/>
          <w:color w:val="auto"/>
        </w:rPr>
      </w:pPr>
    </w:p>
    <w:p>
      <w:pPr>
        <w:ind w:left="5940"/>
        <w:spacing w:after="0"/>
        <w:tabs>
          <w:tab w:leader="none" w:pos="6420" w:val="left"/>
        </w:tabs>
        <w:rPr>
          <w:sz w:val="20"/>
          <w:szCs w:val="20"/>
          <w:color w:val="auto"/>
        </w:rPr>
      </w:pPr>
      <w:r>
        <w:rPr>
          <w:rFonts w:ascii="Arial" w:cs="Arial" w:eastAsia="Arial" w:hAnsi="Arial"/>
          <w:sz w:val="17"/>
          <w:szCs w:val="17"/>
          <w:color w:val="auto"/>
        </w:rPr>
        <w:t>Title:</w:t>
        <w:tab/>
        <w:t>President and Chief Executive Officer</w:t>
      </w:r>
    </w:p>
    <w:p>
      <w:pPr>
        <w:spacing w:after="0" w:line="206"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POWER OF ATTORNEY AND SIGNATURES</w:t>
      </w:r>
    </w:p>
    <w:p>
      <w:pPr>
        <w:spacing w:after="0" w:line="363" w:lineRule="exact"/>
        <w:rPr>
          <w:sz w:val="20"/>
          <w:szCs w:val="20"/>
          <w:color w:val="auto"/>
        </w:rPr>
      </w:pPr>
    </w:p>
    <w:p>
      <w:pPr>
        <w:ind w:left="1260" w:right="699"/>
        <w:spacing w:after="0" w:line="266" w:lineRule="auto"/>
        <w:rPr>
          <w:sz w:val="20"/>
          <w:szCs w:val="20"/>
          <w:color w:val="auto"/>
        </w:rPr>
      </w:pPr>
      <w:r>
        <w:rPr>
          <w:rFonts w:ascii="Arial" w:cs="Arial" w:eastAsia="Arial" w:hAnsi="Arial"/>
          <w:sz w:val="17"/>
          <w:szCs w:val="17"/>
          <w:color w:val="auto"/>
        </w:rPr>
        <w:t>Each of the undersigned directors and officers of TELA Bio, Inc. hereby constitutes and appoints each of Antony Koblish and Nora Brennan as his true and lawful attorneys-in-fact and agents with full power of substitution and resubstitution, for him and his name, place and stead, in any and all capacities, to execute any and all amendments (including post-effective amendments) to this registration statement, to sign any registration statement related to this registration statement filed pursuant to Rule 462(b) under the Securities Act of 1933, as amended, or the Securities Act, and to cause the same to be filed with all exhibits thereto, and all documents in connection therewith, with the Securities and Exchange Commission, granting unto said attorneys-in-fact and agents, and each of them, full power and authority to do and perform each and every act and thing requisite and desirable to be done in and about the premises as fully and to all intents and purposes as the undersigned might or could do in person, hereby ratifying and confirming all acts and things that said attorneys-in-fact and agents or any of them, or their or his substitute or substitutes may lawfully do or cause to be done by virtue hereof.</w:t>
      </w:r>
    </w:p>
    <w:p>
      <w:pPr>
        <w:spacing w:after="0" w:line="127" w:lineRule="exact"/>
        <w:rPr>
          <w:sz w:val="20"/>
          <w:szCs w:val="20"/>
          <w:color w:val="auto"/>
        </w:rPr>
      </w:pPr>
    </w:p>
    <w:p>
      <w:pPr>
        <w:ind w:left="1260" w:right="1239"/>
        <w:spacing w:after="0" w:line="276" w:lineRule="auto"/>
        <w:rPr>
          <w:sz w:val="20"/>
          <w:szCs w:val="20"/>
          <w:color w:val="auto"/>
        </w:rPr>
      </w:pPr>
      <w:r>
        <w:rPr>
          <w:rFonts w:ascii="Arial" w:cs="Arial" w:eastAsia="Arial" w:hAnsi="Arial"/>
          <w:sz w:val="17"/>
          <w:szCs w:val="17"/>
          <w:color w:val="auto"/>
        </w:rPr>
        <w:t>Pursuant to the requirements of the Securities Act, this registration statement has been signed by the following persons in the capacities and on the dates indicated.</w:t>
      </w:r>
    </w:p>
    <w:p>
      <w:pPr>
        <w:spacing w:after="0" w:line="340"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535"/>
        </w:trPr>
        <w:tc>
          <w:tcPr>
            <w:tcW w:w="3020" w:type="dxa"/>
            <w:vAlign w:val="bottom"/>
          </w:tcPr>
          <w:p>
            <w:pPr>
              <w:jc w:val="center"/>
              <w:spacing w:after="0"/>
              <w:rPr>
                <w:sz w:val="20"/>
                <w:szCs w:val="20"/>
                <w:color w:val="auto"/>
              </w:rPr>
            </w:pPr>
            <w:r>
              <w:rPr>
                <w:rFonts w:ascii="Arial" w:cs="Arial" w:eastAsia="Arial" w:hAnsi="Arial"/>
                <w:sz w:val="17"/>
                <w:szCs w:val="17"/>
                <w:color w:val="auto"/>
                <w:w w:val="99"/>
              </w:rPr>
              <w:t>/s/ Antony Koblish</w:t>
            </w:r>
          </w:p>
        </w:tc>
        <w:tc>
          <w:tcPr>
            <w:tcW w:w="220" w:type="dxa"/>
            <w:vAlign w:val="bottom"/>
          </w:tcPr>
          <w:p>
            <w:pPr>
              <w:spacing w:after="0"/>
              <w:rPr>
                <w:sz w:val="24"/>
                <w:szCs w:val="24"/>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7"/>
                <w:szCs w:val="17"/>
                <w:color w:val="auto"/>
              </w:rPr>
              <w:t>President, Chief Executive Officer and</w:t>
            </w:r>
          </w:p>
        </w:tc>
        <w:tc>
          <w:tcPr>
            <w:tcW w:w="1740" w:type="dxa"/>
            <w:vAlign w:val="bottom"/>
          </w:tcPr>
          <w:p>
            <w:pPr>
              <w:jc w:val="center"/>
              <w:spacing w:after="0"/>
              <w:rPr>
                <w:sz w:val="20"/>
                <w:szCs w:val="20"/>
                <w:color w:val="auto"/>
              </w:rPr>
            </w:pPr>
            <w:r>
              <w:rPr>
                <w:rFonts w:ascii="Arial" w:cs="Arial" w:eastAsia="Arial" w:hAnsi="Arial"/>
                <w:sz w:val="17"/>
                <w:szCs w:val="17"/>
                <w:color w:val="auto"/>
              </w:rPr>
              <w:t>June 23, 2020</w:t>
            </w:r>
          </w:p>
        </w:tc>
        <w:tc>
          <w:tcPr>
            <w:tcW w:w="0" w:type="dxa"/>
            <w:vAlign w:val="bottom"/>
          </w:tcPr>
          <w:p>
            <w:pPr>
              <w:spacing w:after="0"/>
              <w:rPr>
                <w:sz w:val="1"/>
                <w:szCs w:val="1"/>
                <w:color w:val="auto"/>
              </w:rPr>
            </w:pPr>
          </w:p>
        </w:tc>
      </w:tr>
      <w:tr>
        <w:trPr>
          <w:trHeight w:val="58"/>
        </w:trPr>
        <w:tc>
          <w:tcPr>
            <w:tcW w:w="302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3240" w:type="dxa"/>
            <w:vAlign w:val="bottom"/>
            <w:gridSpan w:val="2"/>
            <w:vMerge w:val="restart"/>
          </w:tcPr>
          <w:p>
            <w:pPr>
              <w:jc w:val="center"/>
              <w:ind w:right="220"/>
              <w:spacing w:after="0"/>
              <w:rPr>
                <w:sz w:val="20"/>
                <w:szCs w:val="20"/>
                <w:color w:val="auto"/>
              </w:rPr>
            </w:pPr>
            <w:r>
              <w:rPr>
                <w:rFonts w:ascii="Arial" w:cs="Arial" w:eastAsia="Arial" w:hAnsi="Arial"/>
                <w:sz w:val="17"/>
                <w:szCs w:val="17"/>
                <w:color w:val="auto"/>
              </w:rPr>
              <w:t>Director (Principal Executive Officer)</w:t>
            </w: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3020" w:type="dxa"/>
            <w:vAlign w:val="bottom"/>
            <w:vMerge w:val="restart"/>
          </w:tcPr>
          <w:p>
            <w:pPr>
              <w:jc w:val="center"/>
              <w:spacing w:after="0"/>
              <w:rPr>
                <w:sz w:val="20"/>
                <w:szCs w:val="20"/>
                <w:color w:val="auto"/>
              </w:rPr>
            </w:pPr>
            <w:r>
              <w:rPr>
                <w:rFonts w:ascii="Arial" w:cs="Arial" w:eastAsia="Arial" w:hAnsi="Arial"/>
                <w:sz w:val="17"/>
                <w:szCs w:val="17"/>
                <w:color w:val="auto"/>
              </w:rPr>
              <w:t>Antony Koblish</w:t>
            </w:r>
          </w:p>
        </w:tc>
        <w:tc>
          <w:tcPr>
            <w:tcW w:w="220" w:type="dxa"/>
            <w:vAlign w:val="bottom"/>
            <w:vMerge w:val="continue"/>
          </w:tcPr>
          <w:p>
            <w:pPr>
              <w:spacing w:after="0"/>
              <w:rPr>
                <w:sz w:val="12"/>
                <w:szCs w:val="12"/>
                <w:color w:val="auto"/>
              </w:rPr>
            </w:pPr>
          </w:p>
        </w:tc>
        <w:tc>
          <w:tcPr>
            <w:tcW w:w="324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0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3020" w:type="dxa"/>
            <w:vAlign w:val="bottom"/>
          </w:tcPr>
          <w:p>
            <w:pPr>
              <w:jc w:val="center"/>
              <w:spacing w:after="0"/>
              <w:rPr>
                <w:sz w:val="20"/>
                <w:szCs w:val="20"/>
                <w:color w:val="auto"/>
              </w:rPr>
            </w:pPr>
            <w:r>
              <w:rPr>
                <w:rFonts w:ascii="Arial" w:cs="Arial" w:eastAsia="Arial" w:hAnsi="Arial"/>
                <w:sz w:val="17"/>
                <w:szCs w:val="17"/>
                <w:color w:val="auto"/>
              </w:rPr>
              <w:t>/s/ Nora Brennan</w:t>
            </w:r>
          </w:p>
        </w:tc>
        <w:tc>
          <w:tcPr>
            <w:tcW w:w="220" w:type="dxa"/>
            <w:vAlign w:val="bottom"/>
          </w:tcPr>
          <w:p>
            <w:pPr>
              <w:spacing w:after="0"/>
              <w:rPr>
                <w:sz w:val="24"/>
                <w:szCs w:val="24"/>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7"/>
                <w:szCs w:val="17"/>
                <w:color w:val="auto"/>
              </w:rPr>
              <w:t>Chief Financial Officer (Principal</w:t>
            </w:r>
          </w:p>
        </w:tc>
        <w:tc>
          <w:tcPr>
            <w:tcW w:w="1740" w:type="dxa"/>
            <w:vAlign w:val="bottom"/>
          </w:tcPr>
          <w:p>
            <w:pPr>
              <w:jc w:val="center"/>
              <w:spacing w:after="0"/>
              <w:rPr>
                <w:sz w:val="20"/>
                <w:szCs w:val="20"/>
                <w:color w:val="auto"/>
              </w:rPr>
            </w:pPr>
            <w:r>
              <w:rPr>
                <w:rFonts w:ascii="Arial" w:cs="Arial" w:eastAsia="Arial" w:hAnsi="Arial"/>
                <w:sz w:val="17"/>
                <w:szCs w:val="17"/>
                <w:color w:val="auto"/>
              </w:rPr>
              <w:t>June 23, 2020</w:t>
            </w:r>
          </w:p>
        </w:tc>
        <w:tc>
          <w:tcPr>
            <w:tcW w:w="0" w:type="dxa"/>
            <w:vAlign w:val="bottom"/>
          </w:tcPr>
          <w:p>
            <w:pPr>
              <w:spacing w:after="0"/>
              <w:rPr>
                <w:sz w:val="1"/>
                <w:szCs w:val="1"/>
                <w:color w:val="auto"/>
              </w:rPr>
            </w:pPr>
          </w:p>
        </w:tc>
      </w:tr>
      <w:tr>
        <w:trPr>
          <w:trHeight w:val="58"/>
        </w:trPr>
        <w:tc>
          <w:tcPr>
            <w:tcW w:w="302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3240" w:type="dxa"/>
            <w:vAlign w:val="bottom"/>
            <w:gridSpan w:val="2"/>
            <w:vMerge w:val="restart"/>
          </w:tcPr>
          <w:p>
            <w:pPr>
              <w:jc w:val="center"/>
              <w:ind w:right="220"/>
              <w:spacing w:after="0"/>
              <w:rPr>
                <w:sz w:val="20"/>
                <w:szCs w:val="20"/>
                <w:color w:val="auto"/>
              </w:rPr>
            </w:pPr>
            <w:r>
              <w:rPr>
                <w:rFonts w:ascii="Arial" w:cs="Arial" w:eastAsia="Arial" w:hAnsi="Arial"/>
                <w:sz w:val="17"/>
                <w:szCs w:val="17"/>
                <w:color w:val="auto"/>
              </w:rPr>
              <w:t>Financial Officer and Principal</w:t>
            </w: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3020" w:type="dxa"/>
            <w:vAlign w:val="bottom"/>
            <w:vMerge w:val="restart"/>
          </w:tcPr>
          <w:p>
            <w:pPr>
              <w:jc w:val="center"/>
              <w:spacing w:after="0"/>
              <w:rPr>
                <w:sz w:val="20"/>
                <w:szCs w:val="20"/>
                <w:color w:val="auto"/>
              </w:rPr>
            </w:pPr>
            <w:r>
              <w:rPr>
                <w:rFonts w:ascii="Arial" w:cs="Arial" w:eastAsia="Arial" w:hAnsi="Arial"/>
                <w:sz w:val="17"/>
                <w:szCs w:val="17"/>
                <w:color w:val="auto"/>
              </w:rPr>
              <w:t>Nora Brennan</w:t>
            </w:r>
          </w:p>
        </w:tc>
        <w:tc>
          <w:tcPr>
            <w:tcW w:w="220" w:type="dxa"/>
            <w:vAlign w:val="bottom"/>
            <w:vMerge w:val="continue"/>
          </w:tcPr>
          <w:p>
            <w:pPr>
              <w:spacing w:after="0"/>
              <w:rPr>
                <w:sz w:val="12"/>
                <w:szCs w:val="12"/>
                <w:color w:val="auto"/>
              </w:rPr>
            </w:pPr>
          </w:p>
        </w:tc>
        <w:tc>
          <w:tcPr>
            <w:tcW w:w="324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3240" w:type="dxa"/>
            <w:vAlign w:val="bottom"/>
            <w:gridSpan w:val="2"/>
            <w:vMerge w:val="restart"/>
          </w:tcPr>
          <w:p>
            <w:pPr>
              <w:jc w:val="center"/>
              <w:ind w:right="220"/>
              <w:spacing w:after="0"/>
              <w:rPr>
                <w:sz w:val="20"/>
                <w:szCs w:val="20"/>
                <w:color w:val="auto"/>
              </w:rPr>
            </w:pPr>
            <w:r>
              <w:rPr>
                <w:rFonts w:ascii="Arial" w:cs="Arial" w:eastAsia="Arial" w:hAnsi="Arial"/>
                <w:sz w:val="17"/>
                <w:szCs w:val="17"/>
                <w:color w:val="auto"/>
              </w:rPr>
              <w:t>Accounting Officer)</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40" w:type="dxa"/>
            <w:vAlign w:val="bottom"/>
            <w:gridSpan w:val="2"/>
            <w:vMerge w:val="continue"/>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3020" w:type="dxa"/>
            <w:vAlign w:val="bottom"/>
          </w:tcPr>
          <w:p>
            <w:pPr>
              <w:jc w:val="center"/>
              <w:spacing w:after="0"/>
              <w:rPr>
                <w:sz w:val="20"/>
                <w:szCs w:val="20"/>
                <w:color w:val="auto"/>
              </w:rPr>
            </w:pPr>
            <w:r>
              <w:rPr>
                <w:rFonts w:ascii="Arial" w:cs="Arial" w:eastAsia="Arial" w:hAnsi="Arial"/>
                <w:sz w:val="17"/>
                <w:szCs w:val="17"/>
                <w:color w:val="auto"/>
              </w:rPr>
              <w:t>/s/ Doug Evans</w:t>
            </w:r>
          </w:p>
        </w:tc>
        <w:tc>
          <w:tcPr>
            <w:tcW w:w="220" w:type="dxa"/>
            <w:vAlign w:val="bottom"/>
          </w:tcPr>
          <w:p>
            <w:pPr>
              <w:spacing w:after="0"/>
              <w:rPr>
                <w:sz w:val="24"/>
                <w:szCs w:val="24"/>
                <w:color w:val="auto"/>
              </w:rPr>
            </w:pPr>
          </w:p>
        </w:tc>
        <w:tc>
          <w:tcPr>
            <w:tcW w:w="3240" w:type="dxa"/>
            <w:vAlign w:val="bottom"/>
            <w:gridSpan w:val="2"/>
          </w:tcPr>
          <w:p>
            <w:pPr>
              <w:jc w:val="center"/>
              <w:ind w:right="220"/>
              <w:spacing w:after="0"/>
              <w:rPr>
                <w:sz w:val="20"/>
                <w:szCs w:val="20"/>
                <w:color w:val="auto"/>
              </w:rPr>
            </w:pPr>
            <w:r>
              <w:rPr>
                <w:rFonts w:ascii="Arial" w:cs="Arial" w:eastAsia="Arial" w:hAnsi="Arial"/>
                <w:sz w:val="17"/>
                <w:szCs w:val="17"/>
                <w:color w:val="auto"/>
              </w:rPr>
              <w:t>Chairman, Board of Directors</w:t>
            </w:r>
          </w:p>
        </w:tc>
        <w:tc>
          <w:tcPr>
            <w:tcW w:w="1740" w:type="dxa"/>
            <w:vAlign w:val="bottom"/>
          </w:tcPr>
          <w:p>
            <w:pPr>
              <w:jc w:val="center"/>
              <w:spacing w:after="0"/>
              <w:rPr>
                <w:sz w:val="20"/>
                <w:szCs w:val="20"/>
                <w:color w:val="auto"/>
              </w:rPr>
            </w:pPr>
            <w:r>
              <w:rPr>
                <w:rFonts w:ascii="Arial" w:cs="Arial" w:eastAsia="Arial" w:hAnsi="Arial"/>
                <w:sz w:val="17"/>
                <w:szCs w:val="17"/>
                <w:color w:val="auto"/>
              </w:rPr>
              <w:t>June 23, 2020</w:t>
            </w:r>
          </w:p>
        </w:tc>
        <w:tc>
          <w:tcPr>
            <w:tcW w:w="0" w:type="dxa"/>
            <w:vAlign w:val="bottom"/>
          </w:tcPr>
          <w:p>
            <w:pPr>
              <w:spacing w:after="0"/>
              <w:rPr>
                <w:sz w:val="1"/>
                <w:szCs w:val="1"/>
                <w:color w:val="auto"/>
              </w:rPr>
            </w:pPr>
          </w:p>
        </w:tc>
      </w:tr>
      <w:tr>
        <w:trPr>
          <w:trHeight w:val="58"/>
        </w:trPr>
        <w:tc>
          <w:tcPr>
            <w:tcW w:w="30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3020" w:type="dxa"/>
            <w:vAlign w:val="bottom"/>
          </w:tcPr>
          <w:p>
            <w:pPr>
              <w:jc w:val="center"/>
              <w:spacing w:after="0"/>
              <w:rPr>
                <w:sz w:val="20"/>
                <w:szCs w:val="20"/>
                <w:color w:val="auto"/>
              </w:rPr>
            </w:pPr>
            <w:r>
              <w:rPr>
                <w:rFonts w:ascii="Arial" w:cs="Arial" w:eastAsia="Arial" w:hAnsi="Arial"/>
                <w:sz w:val="17"/>
                <w:szCs w:val="17"/>
                <w:color w:val="auto"/>
              </w:rPr>
              <w:t>Doug Evans</w:t>
            </w:r>
          </w:p>
        </w:tc>
        <w:tc>
          <w:tcPr>
            <w:tcW w:w="2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3020" w:type="dxa"/>
            <w:vAlign w:val="bottom"/>
          </w:tcPr>
          <w:p>
            <w:pPr>
              <w:jc w:val="center"/>
              <w:spacing w:after="0"/>
              <w:rPr>
                <w:sz w:val="20"/>
                <w:szCs w:val="20"/>
                <w:color w:val="auto"/>
              </w:rPr>
            </w:pPr>
            <w:r>
              <w:rPr>
                <w:rFonts w:ascii="Arial" w:cs="Arial" w:eastAsia="Arial" w:hAnsi="Arial"/>
                <w:sz w:val="17"/>
                <w:szCs w:val="17"/>
                <w:color w:val="auto"/>
              </w:rPr>
              <w:t>/s/ Kurt Azarbarzin</w:t>
            </w:r>
          </w:p>
        </w:tc>
        <w:tc>
          <w:tcPr>
            <w:tcW w:w="220" w:type="dxa"/>
            <w:vAlign w:val="bottom"/>
          </w:tcPr>
          <w:p>
            <w:pPr>
              <w:spacing w:after="0"/>
              <w:rPr>
                <w:sz w:val="24"/>
                <w:szCs w:val="24"/>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7"/>
                <w:szCs w:val="17"/>
                <w:color w:val="auto"/>
              </w:rPr>
              <w:t>Director</w:t>
            </w:r>
          </w:p>
        </w:tc>
        <w:tc>
          <w:tcPr>
            <w:tcW w:w="1740" w:type="dxa"/>
            <w:vAlign w:val="bottom"/>
          </w:tcPr>
          <w:p>
            <w:pPr>
              <w:jc w:val="center"/>
              <w:spacing w:after="0"/>
              <w:rPr>
                <w:sz w:val="20"/>
                <w:szCs w:val="20"/>
                <w:color w:val="auto"/>
              </w:rPr>
            </w:pPr>
            <w:r>
              <w:rPr>
                <w:rFonts w:ascii="Arial" w:cs="Arial" w:eastAsia="Arial" w:hAnsi="Arial"/>
                <w:sz w:val="17"/>
                <w:szCs w:val="17"/>
                <w:color w:val="auto"/>
              </w:rPr>
              <w:t>June 23, 2020</w:t>
            </w:r>
          </w:p>
        </w:tc>
        <w:tc>
          <w:tcPr>
            <w:tcW w:w="0" w:type="dxa"/>
            <w:vAlign w:val="bottom"/>
          </w:tcPr>
          <w:p>
            <w:pPr>
              <w:spacing w:after="0"/>
              <w:rPr>
                <w:sz w:val="1"/>
                <w:szCs w:val="1"/>
                <w:color w:val="auto"/>
              </w:rPr>
            </w:pPr>
          </w:p>
        </w:tc>
      </w:tr>
      <w:tr>
        <w:trPr>
          <w:trHeight w:val="58"/>
        </w:trPr>
        <w:tc>
          <w:tcPr>
            <w:tcW w:w="30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3020" w:type="dxa"/>
            <w:vAlign w:val="bottom"/>
          </w:tcPr>
          <w:p>
            <w:pPr>
              <w:jc w:val="center"/>
              <w:spacing w:after="0"/>
              <w:rPr>
                <w:sz w:val="20"/>
                <w:szCs w:val="20"/>
                <w:color w:val="auto"/>
              </w:rPr>
            </w:pPr>
            <w:r>
              <w:rPr>
                <w:rFonts w:ascii="Arial" w:cs="Arial" w:eastAsia="Arial" w:hAnsi="Arial"/>
                <w:sz w:val="17"/>
                <w:szCs w:val="17"/>
                <w:color w:val="auto"/>
              </w:rPr>
              <w:t>Kurt Azarbarzin</w:t>
            </w:r>
          </w:p>
        </w:tc>
        <w:tc>
          <w:tcPr>
            <w:tcW w:w="2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3020" w:type="dxa"/>
            <w:vAlign w:val="bottom"/>
          </w:tcPr>
          <w:p>
            <w:pPr>
              <w:jc w:val="center"/>
              <w:spacing w:after="0"/>
              <w:rPr>
                <w:sz w:val="20"/>
                <w:szCs w:val="20"/>
                <w:color w:val="auto"/>
              </w:rPr>
            </w:pPr>
            <w:r>
              <w:rPr>
                <w:rFonts w:ascii="Arial" w:cs="Arial" w:eastAsia="Arial" w:hAnsi="Arial"/>
                <w:sz w:val="17"/>
                <w:szCs w:val="17"/>
                <w:color w:val="auto"/>
                <w:w w:val="99"/>
              </w:rPr>
              <w:t>/s/ Vince Burgess</w:t>
            </w:r>
          </w:p>
        </w:tc>
        <w:tc>
          <w:tcPr>
            <w:tcW w:w="220" w:type="dxa"/>
            <w:vAlign w:val="bottom"/>
          </w:tcPr>
          <w:p>
            <w:pPr>
              <w:spacing w:after="0"/>
              <w:rPr>
                <w:sz w:val="24"/>
                <w:szCs w:val="24"/>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7"/>
                <w:szCs w:val="17"/>
                <w:color w:val="auto"/>
              </w:rPr>
              <w:t>Director</w:t>
            </w:r>
          </w:p>
        </w:tc>
        <w:tc>
          <w:tcPr>
            <w:tcW w:w="1740" w:type="dxa"/>
            <w:vAlign w:val="bottom"/>
          </w:tcPr>
          <w:p>
            <w:pPr>
              <w:jc w:val="center"/>
              <w:spacing w:after="0"/>
              <w:rPr>
                <w:sz w:val="20"/>
                <w:szCs w:val="20"/>
                <w:color w:val="auto"/>
              </w:rPr>
            </w:pPr>
            <w:r>
              <w:rPr>
                <w:rFonts w:ascii="Arial" w:cs="Arial" w:eastAsia="Arial" w:hAnsi="Arial"/>
                <w:sz w:val="17"/>
                <w:szCs w:val="17"/>
                <w:color w:val="auto"/>
              </w:rPr>
              <w:t>June 23, 2020</w:t>
            </w:r>
          </w:p>
        </w:tc>
        <w:tc>
          <w:tcPr>
            <w:tcW w:w="0" w:type="dxa"/>
            <w:vAlign w:val="bottom"/>
          </w:tcPr>
          <w:p>
            <w:pPr>
              <w:spacing w:after="0"/>
              <w:rPr>
                <w:sz w:val="1"/>
                <w:szCs w:val="1"/>
                <w:color w:val="auto"/>
              </w:rPr>
            </w:pPr>
          </w:p>
        </w:tc>
      </w:tr>
      <w:tr>
        <w:trPr>
          <w:trHeight w:val="58"/>
        </w:trPr>
        <w:tc>
          <w:tcPr>
            <w:tcW w:w="30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3020" w:type="dxa"/>
            <w:vAlign w:val="bottom"/>
          </w:tcPr>
          <w:p>
            <w:pPr>
              <w:jc w:val="center"/>
              <w:spacing w:after="0"/>
              <w:rPr>
                <w:sz w:val="20"/>
                <w:szCs w:val="20"/>
                <w:color w:val="auto"/>
              </w:rPr>
            </w:pPr>
            <w:r>
              <w:rPr>
                <w:rFonts w:ascii="Arial" w:cs="Arial" w:eastAsia="Arial" w:hAnsi="Arial"/>
                <w:sz w:val="17"/>
                <w:szCs w:val="17"/>
                <w:color w:val="auto"/>
              </w:rPr>
              <w:t>Vince Burgess</w:t>
            </w:r>
          </w:p>
        </w:tc>
        <w:tc>
          <w:tcPr>
            <w:tcW w:w="2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5"/>
        </w:trPr>
        <w:tc>
          <w:tcPr>
            <w:tcW w:w="3020" w:type="dxa"/>
            <w:vAlign w:val="bottom"/>
          </w:tcPr>
          <w:p>
            <w:pPr>
              <w:jc w:val="center"/>
              <w:spacing w:after="0"/>
              <w:rPr>
                <w:sz w:val="20"/>
                <w:szCs w:val="20"/>
                <w:color w:val="auto"/>
              </w:rPr>
            </w:pPr>
            <w:r>
              <w:rPr>
                <w:rFonts w:ascii="Arial" w:cs="Arial" w:eastAsia="Arial" w:hAnsi="Arial"/>
                <w:sz w:val="17"/>
                <w:szCs w:val="17"/>
                <w:color w:val="auto"/>
              </w:rPr>
              <w:t>/s/ Lisa Colleran</w:t>
            </w:r>
          </w:p>
        </w:tc>
        <w:tc>
          <w:tcPr>
            <w:tcW w:w="220" w:type="dxa"/>
            <w:vAlign w:val="bottom"/>
          </w:tcPr>
          <w:p>
            <w:pPr>
              <w:spacing w:after="0"/>
              <w:rPr>
                <w:sz w:val="24"/>
                <w:szCs w:val="24"/>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7"/>
                <w:szCs w:val="17"/>
                <w:color w:val="auto"/>
              </w:rPr>
              <w:t>Director</w:t>
            </w:r>
          </w:p>
        </w:tc>
        <w:tc>
          <w:tcPr>
            <w:tcW w:w="1740" w:type="dxa"/>
            <w:vAlign w:val="bottom"/>
          </w:tcPr>
          <w:p>
            <w:pPr>
              <w:jc w:val="center"/>
              <w:spacing w:after="0"/>
              <w:rPr>
                <w:sz w:val="20"/>
                <w:szCs w:val="20"/>
                <w:color w:val="auto"/>
              </w:rPr>
            </w:pPr>
            <w:r>
              <w:rPr>
                <w:rFonts w:ascii="Arial" w:cs="Arial" w:eastAsia="Arial" w:hAnsi="Arial"/>
                <w:sz w:val="17"/>
                <w:szCs w:val="17"/>
                <w:color w:val="auto"/>
              </w:rPr>
              <w:t>June 23, 2020</w:t>
            </w:r>
          </w:p>
        </w:tc>
        <w:tc>
          <w:tcPr>
            <w:tcW w:w="0" w:type="dxa"/>
            <w:vAlign w:val="bottom"/>
          </w:tcPr>
          <w:p>
            <w:pPr>
              <w:spacing w:after="0"/>
              <w:rPr>
                <w:sz w:val="1"/>
                <w:szCs w:val="1"/>
                <w:color w:val="auto"/>
              </w:rPr>
            </w:pPr>
          </w:p>
        </w:tc>
      </w:tr>
      <w:tr>
        <w:trPr>
          <w:trHeight w:val="58"/>
        </w:trPr>
        <w:tc>
          <w:tcPr>
            <w:tcW w:w="30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3020" w:type="dxa"/>
            <w:vAlign w:val="bottom"/>
          </w:tcPr>
          <w:p>
            <w:pPr>
              <w:jc w:val="center"/>
              <w:spacing w:after="0"/>
              <w:rPr>
                <w:sz w:val="20"/>
                <w:szCs w:val="20"/>
                <w:color w:val="auto"/>
              </w:rPr>
            </w:pPr>
            <w:r>
              <w:rPr>
                <w:rFonts w:ascii="Arial" w:cs="Arial" w:eastAsia="Arial" w:hAnsi="Arial"/>
                <w:sz w:val="17"/>
                <w:szCs w:val="17"/>
                <w:color w:val="auto"/>
              </w:rPr>
              <w:t>Lisa Colleran</w:t>
            </w:r>
          </w:p>
        </w:tc>
        <w:tc>
          <w:tcPr>
            <w:tcW w:w="2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238"/>
        </w:trPr>
        <w:tc>
          <w:tcPr>
            <w:tcW w:w="3020" w:type="dxa"/>
            <w:vAlign w:val="bottom"/>
          </w:tcPr>
          <w:p>
            <w:pPr>
              <w:jc w:val="center"/>
              <w:spacing w:after="0"/>
              <w:rPr>
                <w:sz w:val="20"/>
                <w:szCs w:val="20"/>
                <w:color w:val="auto"/>
              </w:rPr>
            </w:pPr>
            <w:r>
              <w:rPr>
                <w:rFonts w:ascii="Arial" w:cs="Arial" w:eastAsia="Arial" w:hAnsi="Arial"/>
                <w:sz w:val="17"/>
                <w:szCs w:val="17"/>
                <w:color w:val="auto"/>
              </w:rPr>
              <w:t>/s/ Federica O'Brien</w:t>
            </w:r>
          </w:p>
        </w:tc>
        <w:tc>
          <w:tcPr>
            <w:tcW w:w="220" w:type="dxa"/>
            <w:vAlign w:val="bottom"/>
          </w:tcPr>
          <w:p>
            <w:pPr>
              <w:spacing w:after="0"/>
              <w:rPr>
                <w:sz w:val="20"/>
                <w:szCs w:val="20"/>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7"/>
                <w:szCs w:val="17"/>
                <w:color w:val="auto"/>
              </w:rPr>
              <w:t>Director</w:t>
            </w:r>
          </w:p>
        </w:tc>
        <w:tc>
          <w:tcPr>
            <w:tcW w:w="1740" w:type="dxa"/>
            <w:vAlign w:val="bottom"/>
          </w:tcPr>
          <w:p>
            <w:pPr>
              <w:jc w:val="center"/>
              <w:spacing w:after="0"/>
              <w:rPr>
                <w:sz w:val="20"/>
                <w:szCs w:val="20"/>
                <w:color w:val="auto"/>
              </w:rPr>
            </w:pPr>
            <w:r>
              <w:rPr>
                <w:rFonts w:ascii="Arial" w:cs="Arial" w:eastAsia="Arial" w:hAnsi="Arial"/>
                <w:sz w:val="17"/>
                <w:szCs w:val="17"/>
                <w:color w:val="auto"/>
              </w:rPr>
              <w:t>June 23, 2020</w:t>
            </w:r>
          </w:p>
        </w:tc>
      </w:tr>
      <w:tr>
        <w:trPr>
          <w:trHeight w:val="58"/>
        </w:trPr>
        <w:tc>
          <w:tcPr>
            <w:tcW w:w="30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tcPr>
          <w:p>
            <w:pPr>
              <w:spacing w:after="0"/>
              <w:rPr>
                <w:sz w:val="5"/>
                <w:szCs w:val="5"/>
                <w:color w:val="auto"/>
              </w:rPr>
            </w:pPr>
          </w:p>
        </w:tc>
      </w:tr>
      <w:tr>
        <w:trPr>
          <w:trHeight w:val="259"/>
        </w:trPr>
        <w:tc>
          <w:tcPr>
            <w:tcW w:w="3020" w:type="dxa"/>
            <w:vAlign w:val="bottom"/>
          </w:tcPr>
          <w:p>
            <w:pPr>
              <w:jc w:val="center"/>
              <w:spacing w:after="0"/>
              <w:rPr>
                <w:sz w:val="20"/>
                <w:szCs w:val="20"/>
                <w:color w:val="auto"/>
              </w:rPr>
            </w:pPr>
            <w:r>
              <w:rPr>
                <w:rFonts w:ascii="Arial" w:cs="Arial" w:eastAsia="Arial" w:hAnsi="Arial"/>
                <w:sz w:val="17"/>
                <w:szCs w:val="17"/>
                <w:color w:val="auto"/>
              </w:rPr>
              <w:t>Federica O’Brien</w:t>
            </w:r>
          </w:p>
        </w:tc>
        <w:tc>
          <w:tcPr>
            <w:tcW w:w="2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419"/>
        </w:trPr>
        <w:tc>
          <w:tcPr>
            <w:tcW w:w="3020" w:type="dxa"/>
            <w:vAlign w:val="bottom"/>
          </w:tcPr>
          <w:p>
            <w:pPr>
              <w:jc w:val="center"/>
              <w:spacing w:after="0"/>
              <w:rPr>
                <w:sz w:val="20"/>
                <w:szCs w:val="20"/>
                <w:color w:val="auto"/>
              </w:rPr>
            </w:pPr>
            <w:r>
              <w:rPr>
                <w:rFonts w:ascii="Arial" w:cs="Arial" w:eastAsia="Arial" w:hAnsi="Arial"/>
                <w:sz w:val="17"/>
                <w:szCs w:val="17"/>
                <w:color w:val="auto"/>
              </w:rPr>
              <w:t>/s/ Adele Oliva</w:t>
            </w:r>
          </w:p>
        </w:tc>
        <w:tc>
          <w:tcPr>
            <w:tcW w:w="220" w:type="dxa"/>
            <w:vAlign w:val="bottom"/>
          </w:tcPr>
          <w:p>
            <w:pPr>
              <w:spacing w:after="0"/>
              <w:rPr>
                <w:sz w:val="24"/>
                <w:szCs w:val="24"/>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7"/>
                <w:szCs w:val="17"/>
                <w:color w:val="auto"/>
              </w:rPr>
              <w:t>Director</w:t>
            </w:r>
          </w:p>
        </w:tc>
        <w:tc>
          <w:tcPr>
            <w:tcW w:w="1740" w:type="dxa"/>
            <w:vAlign w:val="bottom"/>
          </w:tcPr>
          <w:p>
            <w:pPr>
              <w:jc w:val="center"/>
              <w:spacing w:after="0"/>
              <w:rPr>
                <w:sz w:val="20"/>
                <w:szCs w:val="20"/>
                <w:color w:val="auto"/>
              </w:rPr>
            </w:pPr>
            <w:r>
              <w:rPr>
                <w:rFonts w:ascii="Arial" w:cs="Arial" w:eastAsia="Arial" w:hAnsi="Arial"/>
                <w:sz w:val="17"/>
                <w:szCs w:val="17"/>
                <w:color w:val="auto"/>
              </w:rPr>
              <w:t>June 23, 2020</w:t>
            </w:r>
          </w:p>
        </w:tc>
      </w:tr>
      <w:tr>
        <w:trPr>
          <w:trHeight w:val="58"/>
        </w:trPr>
        <w:tc>
          <w:tcPr>
            <w:tcW w:w="30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tcPr>
          <w:p>
            <w:pPr>
              <w:spacing w:after="0"/>
              <w:rPr>
                <w:sz w:val="5"/>
                <w:szCs w:val="5"/>
                <w:color w:val="auto"/>
              </w:rPr>
            </w:pPr>
          </w:p>
        </w:tc>
      </w:tr>
      <w:tr>
        <w:trPr>
          <w:trHeight w:val="260"/>
        </w:trPr>
        <w:tc>
          <w:tcPr>
            <w:tcW w:w="3020" w:type="dxa"/>
            <w:vAlign w:val="bottom"/>
          </w:tcPr>
          <w:p>
            <w:pPr>
              <w:jc w:val="center"/>
              <w:spacing w:after="0"/>
              <w:rPr>
                <w:sz w:val="20"/>
                <w:szCs w:val="20"/>
                <w:color w:val="auto"/>
              </w:rPr>
            </w:pPr>
            <w:r>
              <w:rPr>
                <w:rFonts w:ascii="Arial" w:cs="Arial" w:eastAsia="Arial" w:hAnsi="Arial"/>
                <w:sz w:val="17"/>
                <w:szCs w:val="17"/>
                <w:color w:val="auto"/>
              </w:rPr>
              <w:t>Adele Oliva</w:t>
            </w:r>
          </w:p>
        </w:tc>
        <w:tc>
          <w:tcPr>
            <w:tcW w:w="2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ind w:left="5040" w:right="5020" w:firstLine="167"/>
        <w:spacing w:after="0" w:line="563" w:lineRule="auto"/>
        <w:tabs>
          <w:tab w:leader="none" w:pos="532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 Shares TELA Bio, Inc. Common Stock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 ],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PIPER SANDLER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 Suite 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972"/>
        <w:spacing w:after="0" w:line="254" w:lineRule="auto"/>
        <w:rPr>
          <w:sz w:val="20"/>
          <w:szCs w:val="20"/>
          <w:color w:val="auto"/>
        </w:rPr>
      </w:pPr>
      <w:r>
        <w:rPr>
          <w:rFonts w:ascii="Arial" w:cs="Arial" w:eastAsia="Arial" w:hAnsi="Arial"/>
          <w:sz w:val="18"/>
          <w:szCs w:val="18"/>
          <w:b w:val="1"/>
          <w:bCs w:val="1"/>
          <w:color w:val="auto"/>
        </w:rPr>
        <w:t xml:space="preserve">Introductory. </w:t>
      </w:r>
      <w:r>
        <w:rPr>
          <w:rFonts w:ascii="Arial" w:cs="Arial" w:eastAsia="Arial" w:hAnsi="Arial"/>
          <w:sz w:val="18"/>
          <w:szCs w:val="18"/>
          <w:color w:val="auto"/>
        </w:rPr>
        <w:t>TELA Bio,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to the several underwriters named in</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A (the “</w:t>
      </w:r>
      <w:r>
        <w:rPr>
          <w:rFonts w:ascii="Arial" w:cs="Arial" w:eastAsia="Arial" w:hAnsi="Arial"/>
          <w:sz w:val="18"/>
          <w:szCs w:val="18"/>
          <w:b w:val="1"/>
          <w:bCs w:val="1"/>
          <w:color w:val="auto"/>
        </w:rPr>
        <w:t>Underwriters</w:t>
      </w:r>
      <w:r>
        <w:rPr>
          <w:rFonts w:ascii="Arial" w:cs="Arial" w:eastAsia="Arial" w:hAnsi="Arial"/>
          <w:sz w:val="18"/>
          <w:szCs w:val="18"/>
          <w:color w:val="auto"/>
        </w:rPr>
        <w:t>”) an aggregate of [ • ] shares of its common stock, par value $0.001 per share (the “</w:t>
      </w:r>
      <w:r>
        <w:rPr>
          <w:rFonts w:ascii="Arial" w:cs="Arial" w:eastAsia="Arial" w:hAnsi="Arial"/>
          <w:sz w:val="18"/>
          <w:szCs w:val="18"/>
          <w:b w:val="1"/>
          <w:bCs w:val="1"/>
          <w:color w:val="auto"/>
        </w:rPr>
        <w:t>Shares</w:t>
      </w:r>
      <w:r>
        <w:rPr>
          <w:rFonts w:ascii="Arial" w:cs="Arial" w:eastAsia="Arial" w:hAnsi="Arial"/>
          <w:sz w:val="18"/>
          <w:szCs w:val="18"/>
          <w:color w:val="auto"/>
        </w:rPr>
        <w:t>”). The [ • ] Shares to be sold by the Company are called the “</w:t>
      </w:r>
      <w:r>
        <w:rPr>
          <w:rFonts w:ascii="Arial" w:cs="Arial" w:eastAsia="Arial" w:hAnsi="Arial"/>
          <w:sz w:val="18"/>
          <w:szCs w:val="18"/>
          <w:b w:val="1"/>
          <w:bCs w:val="1"/>
          <w:color w:val="auto"/>
        </w:rPr>
        <w:t>Firm Shares</w:t>
      </w:r>
      <w:r>
        <w:rPr>
          <w:rFonts w:ascii="Arial" w:cs="Arial" w:eastAsia="Arial" w:hAnsi="Arial"/>
          <w:sz w:val="18"/>
          <w:szCs w:val="18"/>
          <w:color w:val="auto"/>
        </w:rPr>
        <w:t>.” In addition, the Company has granted to the Underwriters an option to purchase up to an additional [ • ] Shares as provided in Section 2. The additional [ • ] Shares to be sold by the Company pursuant to such option are collectively called the “</w:t>
      </w:r>
      <w:r>
        <w:rPr>
          <w:rFonts w:ascii="Arial" w:cs="Arial" w:eastAsia="Arial" w:hAnsi="Arial"/>
          <w:sz w:val="18"/>
          <w:szCs w:val="18"/>
          <w:b w:val="1"/>
          <w:bCs w:val="1"/>
          <w:color w:val="auto"/>
        </w:rPr>
        <w:t>Optional Shares</w:t>
      </w:r>
      <w:r>
        <w:rPr>
          <w:rFonts w:ascii="Arial" w:cs="Arial" w:eastAsia="Arial" w:hAnsi="Arial"/>
          <w:sz w:val="18"/>
          <w:szCs w:val="18"/>
          <w:color w:val="auto"/>
        </w:rPr>
        <w:t>.” The Firm Shares and, if and to the extent such option is exercised, the Optional Shares are collectively called the “</w:t>
      </w:r>
      <w:r>
        <w:rPr>
          <w:rFonts w:ascii="Arial" w:cs="Arial" w:eastAsia="Arial" w:hAnsi="Arial"/>
          <w:sz w:val="18"/>
          <w:szCs w:val="18"/>
          <w:b w:val="1"/>
          <w:bCs w:val="1"/>
          <w:color w:val="auto"/>
        </w:rPr>
        <w:t>Offered Shares</w:t>
      </w:r>
      <w:r>
        <w:rPr>
          <w:rFonts w:ascii="Arial" w:cs="Arial" w:eastAsia="Arial" w:hAnsi="Arial"/>
          <w:sz w:val="18"/>
          <w:szCs w:val="18"/>
          <w:color w:val="auto"/>
        </w:rPr>
        <w:t>.” Jefferies LLC (“</w:t>
      </w:r>
      <w:r>
        <w:rPr>
          <w:rFonts w:ascii="Arial" w:cs="Arial" w:eastAsia="Arial" w:hAnsi="Arial"/>
          <w:sz w:val="18"/>
          <w:szCs w:val="18"/>
          <w:b w:val="1"/>
          <w:bCs w:val="1"/>
          <w:color w:val="auto"/>
        </w:rPr>
        <w:t>Jefferies</w:t>
      </w:r>
      <w:r>
        <w:rPr>
          <w:rFonts w:ascii="Arial" w:cs="Arial" w:eastAsia="Arial" w:hAnsi="Arial"/>
          <w:sz w:val="18"/>
          <w:szCs w:val="18"/>
          <w:color w:val="auto"/>
        </w:rPr>
        <w:t>”) and Piper Sandler &amp; Co. (“</w:t>
      </w:r>
      <w:r>
        <w:rPr>
          <w:rFonts w:ascii="Arial" w:cs="Arial" w:eastAsia="Arial" w:hAnsi="Arial"/>
          <w:sz w:val="18"/>
          <w:szCs w:val="18"/>
          <w:b w:val="1"/>
          <w:bCs w:val="1"/>
          <w:color w:val="auto"/>
        </w:rPr>
        <w:t>Piper Sandler</w:t>
      </w:r>
      <w:r>
        <w:rPr>
          <w:rFonts w:ascii="Arial" w:cs="Arial" w:eastAsia="Arial" w:hAnsi="Arial"/>
          <w:sz w:val="18"/>
          <w:szCs w:val="18"/>
          <w:color w:val="auto"/>
        </w:rPr>
        <w:t>”) have agreed to act as representatives of the several Underwriters (in such capacity, the “</w:t>
      </w:r>
      <w:r>
        <w:rPr>
          <w:rFonts w:ascii="Arial" w:cs="Arial" w:eastAsia="Arial" w:hAnsi="Arial"/>
          <w:sz w:val="18"/>
          <w:szCs w:val="18"/>
          <w:b w:val="1"/>
          <w:bCs w:val="1"/>
          <w:color w:val="auto"/>
        </w:rPr>
        <w:t>Representatives</w:t>
      </w:r>
      <w:r>
        <w:rPr>
          <w:rFonts w:ascii="Arial" w:cs="Arial" w:eastAsia="Arial" w:hAnsi="Arial"/>
          <w:sz w:val="18"/>
          <w:szCs w:val="18"/>
          <w:color w:val="auto"/>
        </w:rPr>
        <w:t>”) in connection with the offering and sale of the Offered Shares. To the extent there are no additional underwriters listed on Schedule A, the term “Representatives” as used herein shall mean you, as Underwriters, and the term “Underwriters” shall mean either the singular or the plural,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ind w:right="100" w:firstLine="648"/>
        <w:spacing w:after="0" w:line="284" w:lineRule="auto"/>
        <w:rPr>
          <w:sz w:val="20"/>
          <w:szCs w:val="20"/>
          <w:color w:val="auto"/>
        </w:rPr>
      </w:pPr>
      <w:r>
        <w:rPr>
          <w:rFonts w:ascii="Arial" w:cs="Arial" w:eastAsia="Arial" w:hAnsi="Arial"/>
          <w:sz w:val="16"/>
          <w:szCs w:val="16"/>
          <w:color w:val="auto"/>
        </w:rPr>
        <w:t>The Company has prepared and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on Form S-1, File No. 333-[ • ] which contains a form of prospectus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Arial" w:cs="Arial" w:eastAsia="Arial" w:hAnsi="Arial"/>
          <w:sz w:val="16"/>
          <w:szCs w:val="16"/>
          <w:b w:val="1"/>
          <w:bCs w:val="1"/>
          <w:color w:val="auto"/>
        </w:rPr>
        <w:t>Securities Act</w:t>
      </w:r>
      <w:r>
        <w:rPr>
          <w:rFonts w:ascii="Arial" w:cs="Arial" w:eastAsia="Arial" w:hAnsi="Arial"/>
          <w:sz w:val="16"/>
          <w:szCs w:val="16"/>
          <w:color w:val="auto"/>
        </w:rPr>
        <w:t>”), including all documents incorporated or deemed to be incorporated by reference therein and any information deemed to be a part thereof at the time of effectiveness pursuant to Rule 430A under the Securities Act, is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Any registration statement filed by the Company pursuant to Rule 462(b) under the Securities Act in connection with the offer and sale of the Offered Shares is called the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and from and after the date and time of filing of any such Rule 462(b) Registration Statement the term “Registration Statement” shall include the Rule 462(b) Registration Statement. The prospectus, in the form first used by the Underwriters to confirm sales of the Offered Shares or in the form first made available to the Underwriters by the Company to meet requests of purchasers pursuant to Rule 173 under the Securities Act, is called the “</w:t>
      </w:r>
      <w:r>
        <w:rPr>
          <w:rFonts w:ascii="Arial" w:cs="Arial" w:eastAsia="Arial" w:hAnsi="Arial"/>
          <w:sz w:val="16"/>
          <w:szCs w:val="16"/>
          <w:b w:val="1"/>
          <w:bCs w:val="1"/>
          <w:color w:val="auto"/>
        </w:rPr>
        <w:t>Prospectus</w:t>
      </w:r>
      <w:r>
        <w:rPr>
          <w:rFonts w:ascii="Arial" w:cs="Arial" w:eastAsia="Arial" w:hAnsi="Arial"/>
          <w:sz w:val="16"/>
          <w:szCs w:val="16"/>
          <w:color w:val="auto"/>
        </w:rPr>
        <w:t>.” The preliminary prospectus dated [ • ], 2020 describing the Offered Shares and the offering thereof is called the “</w:t>
      </w:r>
      <w:r>
        <w:rPr>
          <w:rFonts w:ascii="Arial" w:cs="Arial" w:eastAsia="Arial" w:hAnsi="Arial"/>
          <w:sz w:val="16"/>
          <w:szCs w:val="16"/>
          <w:b w:val="1"/>
          <w:bCs w:val="1"/>
          <w:color w:val="auto"/>
        </w:rPr>
        <w:t>Preliminary Prospectus,”</w:t>
      </w:r>
      <w:r>
        <w:rPr>
          <w:rFonts w:ascii="Arial" w:cs="Arial" w:eastAsia="Arial" w:hAnsi="Arial"/>
          <w:sz w:val="16"/>
          <w:szCs w:val="16"/>
          <w:color w:val="auto"/>
        </w:rPr>
        <w:t xml:space="preserve"> and the Preliminary Prospectus and any other prospectus in preliminary form that describes the Offered Shares and the offering thereof and is used prior to the filing of the Prospectus is called a “</w:t>
      </w:r>
      <w:r>
        <w:rPr>
          <w:rFonts w:ascii="Arial" w:cs="Arial" w:eastAsia="Arial" w:hAnsi="Arial"/>
          <w:sz w:val="16"/>
          <w:szCs w:val="16"/>
          <w:b w:val="1"/>
          <w:bCs w:val="1"/>
          <w:color w:val="auto"/>
        </w:rPr>
        <w:t>preliminary prospectus</w:t>
      </w:r>
      <w:r>
        <w:rPr>
          <w:rFonts w:ascii="Arial" w:cs="Arial" w:eastAsia="Arial" w:hAnsi="Arial"/>
          <w:sz w:val="16"/>
          <w:szCs w:val="16"/>
          <w:color w:val="auto"/>
        </w:rPr>
        <w:t>.” As used herein, “</w:t>
      </w:r>
      <w:r>
        <w:rPr>
          <w:rFonts w:ascii="Arial" w:cs="Arial" w:eastAsia="Arial" w:hAnsi="Arial"/>
          <w:sz w:val="16"/>
          <w:szCs w:val="16"/>
          <w:b w:val="1"/>
          <w:bCs w:val="1"/>
          <w:color w:val="auto"/>
        </w:rPr>
        <w:t>Applicable Time</w:t>
      </w:r>
      <w:r>
        <w:rPr>
          <w:rFonts w:ascii="Arial" w:cs="Arial" w:eastAsia="Arial" w:hAnsi="Arial"/>
          <w:sz w:val="16"/>
          <w:szCs w:val="16"/>
          <w:color w:val="auto"/>
        </w:rPr>
        <w:t>” is [ • ] [a.][p.]m. (New York City time) on [ • ], 2020. As used herein, “</w:t>
      </w:r>
      <w:r>
        <w:rPr>
          <w:rFonts w:ascii="Arial" w:cs="Arial" w:eastAsia="Arial" w:hAnsi="Arial"/>
          <w:sz w:val="16"/>
          <w:szCs w:val="16"/>
          <w:b w:val="1"/>
          <w:bCs w:val="1"/>
          <w:color w:val="auto"/>
        </w:rPr>
        <w:t>free writing</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has the meaning set forth in Rule 405 under the Securities Act, and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Preliminary Prospectus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the free writing 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As used herein, </w:t>
      </w:r>
      <w:r>
        <w:rPr>
          <w:rFonts w:ascii="Arial" w:cs="Arial" w:eastAsia="Arial" w:hAnsi="Arial"/>
          <w:sz w:val="16"/>
          <w:szCs w:val="16"/>
          <w:b w:val="1"/>
          <w:bCs w:val="1"/>
          <w:color w:val="auto"/>
        </w:rPr>
        <w:t>“Road Show”</w:t>
      </w:r>
      <w:r>
        <w:rPr>
          <w:rFonts w:ascii="Arial" w:cs="Arial" w:eastAsia="Arial" w:hAnsi="Arial"/>
          <w:sz w:val="16"/>
          <w:szCs w:val="16"/>
          <w:color w:val="auto"/>
        </w:rPr>
        <w:t xml:space="preserve"> means a “road show” (as defined in Rule 433 under the Securities Act) relating to the offering of the Offered Shares contemplated hereby that is a “written communication” (as defined in Rule 405 under the Securities Act). As used herein, “</w:t>
      </w:r>
      <w:r>
        <w:rPr>
          <w:rFonts w:ascii="Arial" w:cs="Arial" w:eastAsia="Arial" w:hAnsi="Arial"/>
          <w:sz w:val="16"/>
          <w:szCs w:val="16"/>
          <w:b w:val="1"/>
          <w:bCs w:val="1"/>
          <w:color w:val="auto"/>
        </w:rPr>
        <w:t>Section 5(d) Written Communication</w:t>
      </w:r>
      <w:r>
        <w:rPr>
          <w:rFonts w:ascii="Arial" w:cs="Arial" w:eastAsia="Arial" w:hAnsi="Arial"/>
          <w:sz w:val="16"/>
          <w:szCs w:val="16"/>
          <w:color w:val="auto"/>
        </w:rPr>
        <w:t>” 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Arial" w:cs="Arial" w:eastAsia="Arial" w:hAnsi="Arial"/>
          <w:sz w:val="16"/>
          <w:szCs w:val="16"/>
          <w:b w:val="1"/>
          <w:bCs w:val="1"/>
          <w:color w:val="auto"/>
        </w:rPr>
        <w:t>QIBs</w:t>
      </w:r>
      <w:r>
        <w:rPr>
          <w:rFonts w:ascii="Arial" w:cs="Arial" w:eastAsia="Arial" w:hAnsi="Arial"/>
          <w:sz w:val="16"/>
          <w:szCs w:val="16"/>
          <w:color w:val="auto"/>
        </w:rPr>
        <w:t>”) and/or institutions that are accredited investors (“</w:t>
      </w:r>
      <w:r>
        <w:rPr>
          <w:rFonts w:ascii="Arial" w:cs="Arial" w:eastAsia="Arial" w:hAnsi="Arial"/>
          <w:sz w:val="16"/>
          <w:szCs w:val="16"/>
          <w:b w:val="1"/>
          <w:bCs w:val="1"/>
          <w:color w:val="auto"/>
        </w:rPr>
        <w:t>IAIs</w:t>
      </w:r>
      <w:r>
        <w:rPr>
          <w:rFonts w:ascii="Arial" w:cs="Arial" w:eastAsia="Arial" w:hAnsi="Arial"/>
          <w:sz w:val="16"/>
          <w:szCs w:val="16"/>
          <w:color w:val="auto"/>
        </w:rPr>
        <w:t>”), as such terms are respectively defined in Rule 144A and Rule 501(a) under the Securities Act, to determine whether such investors might have an interest in the offering of the Offered Shares; “</w:t>
      </w:r>
      <w:r>
        <w:rPr>
          <w:rFonts w:ascii="Arial" w:cs="Arial" w:eastAsia="Arial" w:hAnsi="Arial"/>
          <w:sz w:val="16"/>
          <w:szCs w:val="16"/>
          <w:b w:val="1"/>
          <w:bCs w:val="1"/>
          <w:color w:val="auto"/>
        </w:rPr>
        <w:t>Section 5(d) Oral Communication</w:t>
      </w:r>
      <w:r>
        <w:rPr>
          <w:rFonts w:ascii="Arial" w:cs="Arial" w:eastAsia="Arial" w:hAnsi="Arial"/>
          <w:sz w:val="16"/>
          <w:szCs w:val="16"/>
          <w:color w:val="auto"/>
        </w:rPr>
        <w:t>” means each oral communication, if any, made in reliance on Section 5(d) of the Securities Act by the Company or any person authorized to act on behalf of the Company made to one or more QIBs and/or one or more IAIs to determine whether such investors might have an interest in the offering of the Offered Shares; “</w:t>
      </w:r>
      <w:r>
        <w:rPr>
          <w:rFonts w:ascii="Arial" w:cs="Arial" w:eastAsia="Arial" w:hAnsi="Arial"/>
          <w:sz w:val="16"/>
          <w:szCs w:val="16"/>
          <w:b w:val="1"/>
          <w:bCs w:val="1"/>
          <w:color w:val="auto"/>
        </w:rPr>
        <w:t>Marketing Materials</w:t>
      </w:r>
      <w:r>
        <w:rPr>
          <w:rFonts w:ascii="Arial" w:cs="Arial" w:eastAsia="Arial" w:hAnsi="Arial"/>
          <w:sz w:val="16"/>
          <w:szCs w:val="16"/>
          <w:color w:val="auto"/>
        </w:rPr>
        <w:t>” means any materials or information provided to investors by, or with the approval of, the Company in connection with the marketing of the offering of the Offered Shares, including any roadshow or investor presentations made to investors by the Company (whether in person or electronically); and “</w:t>
      </w:r>
      <w:r>
        <w:rPr>
          <w:rFonts w:ascii="Arial" w:cs="Arial" w:eastAsia="Arial" w:hAnsi="Arial"/>
          <w:sz w:val="16"/>
          <w:szCs w:val="16"/>
          <w:b w:val="1"/>
          <w:bCs w:val="1"/>
          <w:color w:val="auto"/>
        </w:rPr>
        <w:t>Permitted Section 5(d) Communication</w:t>
      </w:r>
      <w:r>
        <w:rPr>
          <w:rFonts w:ascii="Arial" w:cs="Arial" w:eastAsia="Arial" w:hAnsi="Arial"/>
          <w:sz w:val="16"/>
          <w:szCs w:val="16"/>
          <w:color w:val="auto"/>
        </w:rPr>
        <w:t xml:space="preserve">” means the Section 5(d) Written Communication(s) and Marketing Materials listed on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attached 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references in this Agreement to the Registration Statement, the Preliminary Prospectus, any preliminary prospectus and the Prospectus shall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include the documents incorporated or deemed to be incorporated by reference therein. All references in this Agreement to financial statements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schedules and other information which are “contained,” “included” or “stated” in, or “part of” the Registration Statement, the Rule 462(b)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the Preliminary Prospectus, any preliminary prospectus, the Time of Sale Prospectus or the Prospectus, and all other references of like import,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be deemed to mean and include all such financial statements and schedules and other information which is or is deemed to be incorporated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reference in the Registration Statement, the Rule 462(b) Registration Statement, the Preliminary Prospectus, any preliminary prospectus, the Time of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 or the Prospectus, as the case may be. All references in this Agreement to amendments or supplements to the Registration Statement,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Preliminary Prospectus, any preliminary prospectus, the Time of Sale Prospectus or the Prospectus shall be deemed to mean and include the filing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document under the Securities Exchange Act of 1934, as amended, and the rules and regulations promulgated thereunder (collectively, the “</w:t>
      </w:r>
      <w:r>
        <w:rPr>
          <w:rFonts w:ascii="Arial" w:cs="Arial" w:eastAsia="Arial" w:hAnsi="Arial"/>
          <w:sz w:val="16"/>
          <w:szCs w:val="16"/>
          <w:b w:val="1"/>
          <w:bCs w:val="1"/>
          <w:color w:val="auto"/>
        </w:rPr>
        <w:t>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w:t>
      </w:r>
      <w:r>
        <w:rPr>
          <w:rFonts w:ascii="Arial" w:cs="Arial" w:eastAsia="Arial" w:hAnsi="Arial"/>
          <w:sz w:val="16"/>
          <w:szCs w:val="16"/>
          <w:color w:val="auto"/>
        </w:rPr>
        <w:t>”) that is incorporated by reference in the Registration Statement, the Preliminary Prospectus, any preliminary prospectus, or the Prospectus, as the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All references in this Agreement to (i) the Registration Statement, the Preliminary Prospectus, any preliminary prospectus or the Prospectus,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amendments or supplements to any of the foregoing, or any free writing prospectus, shall include any copy thereof filed with the Commission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and (ii) the Prospectus shall be deemed to include any “electronic Prospectus”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provided for use in connection with the offering of the Offered Shares as contemplated by Section 3(n)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firstLine="648"/>
        <w:spacing w:after="0" w:line="277" w:lineRule="auto"/>
        <w:rPr>
          <w:sz w:val="20"/>
          <w:szCs w:val="20"/>
          <w:color w:val="auto"/>
        </w:rPr>
      </w:pPr>
      <w:r>
        <w:rPr>
          <w:rFonts w:ascii="Arial" w:cs="Arial" w:eastAsia="Arial" w:hAnsi="Arial"/>
          <w:sz w:val="18"/>
          <w:szCs w:val="18"/>
          <w:color w:val="auto"/>
        </w:rPr>
        <w:t xml:space="preserve">In the event that the Company has only one subsidiary, then all references herein to “subsidiaries” of the Company shall be deemed to refer to such single subsidiary, </w:t>
      </w:r>
      <w:r>
        <w:rPr>
          <w:rFonts w:ascii="Arial" w:cs="Arial" w:eastAsia="Arial" w:hAnsi="Arial"/>
          <w:sz w:val="18"/>
          <w:szCs w:val="18"/>
          <w:u w:val="single" w:color="auto"/>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confirms its agreements with the Underwriters as follows:</w:t>
      </w:r>
    </w:p>
    <w:p>
      <w:pPr>
        <w:spacing w:after="0" w:line="221" w:lineRule="exact"/>
        <w:rPr>
          <w:sz w:val="20"/>
          <w:szCs w:val="20"/>
          <w:color w:val="auto"/>
        </w:rPr>
      </w:pPr>
    </w:p>
    <w:p>
      <w:pPr>
        <w:ind w:left="1300"/>
        <w:spacing w:after="0"/>
        <w:tabs>
          <w:tab w:leader="none" w:pos="28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Representations and Warranties of the Company.</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hereby represents, warrants and covenants to each Underwriter, as of the date of this Agreement, as of the First Closing Date (as hereinafter defined) and as of each Option Closing Date (as hereinafter defined), if any, as follows:</w:t>
      </w:r>
    </w:p>
    <w:p>
      <w:pPr>
        <w:spacing w:after="0" w:line="166" w:lineRule="exact"/>
        <w:rPr>
          <w:sz w:val="20"/>
          <w:szCs w:val="20"/>
          <w:color w:val="auto"/>
        </w:rPr>
      </w:pPr>
    </w:p>
    <w:p>
      <w:pPr>
        <w:ind w:right="80" w:firstLine="656"/>
        <w:spacing w:after="0" w:line="294" w:lineRule="auto"/>
        <w:tabs>
          <w:tab w:leader="none" w:pos="1577"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Registration Requirements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Registration Statement has become effective under the Securities Act.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 The documents incorporated by reference in the Registration Statement, the Time of Sale Prospectus and the Prospectus, at the time they were or hereafter are filed with the Commission, or became effective under the Exchange Act, as the case may be, complied or will comply, as applicable, in all material respects with the requirements of the Exchange Act at such time.</w:t>
      </w:r>
    </w:p>
    <w:p>
      <w:pPr>
        <w:spacing w:after="0" w:line="159" w:lineRule="exact"/>
        <w:rPr>
          <w:rFonts w:ascii="Arial" w:cs="Arial" w:eastAsia="Arial" w:hAnsi="Arial"/>
          <w:sz w:val="16"/>
          <w:szCs w:val="16"/>
          <w:b w:val="1"/>
          <w:bCs w:val="1"/>
          <w:color w:val="auto"/>
        </w:rPr>
      </w:pPr>
    </w:p>
    <w:p>
      <w:pPr>
        <w:ind w:right="20" w:firstLine="656"/>
        <w:spacing w:after="0" w:line="268" w:lineRule="auto"/>
        <w:tabs>
          <w:tab w:leader="none" w:pos="1543"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Disclosure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preliminary prospectus and the Prospectus when filed complied in all material respects with the Securities Act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filed by 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(as defined in Section 2) and at each applicable Option Closing Date (as defined in Section 2), as then amended or supplemented by the Company, will not, contain any untrue statement of a material fact or omit to state a material fact necessary to make the statements therein, in the light of the circumstances under which they were made, not misleading. The Prospectus as amended or supplemented as of its date, did not, and at the First Closing Date and at each applicable Option Closing Date, as then amended or supplemented by the Company,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ind w:left="-656" w:right="20" w:firstLine="656"/>
        <w:spacing w:after="0" w:line="268" w:lineRule="auto"/>
        <w:tabs>
          <w:tab w:leader="none" w:pos="911"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Free Writing Prospectuses; Road Show</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of the determination date referenced in Rule 164(h) under the Securities Act,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Company was 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unless such information has been superseded or modified as of such time. The representations and warranties set forth in the immediately preceding sentence do not apply to statements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Except for the free writing prospectuses, if any, identified in </w:t>
      </w:r>
      <w:r>
        <w:rPr>
          <w:rFonts w:ascii="Arial" w:cs="Arial" w:eastAsia="Arial" w:hAnsi="Arial"/>
          <w:sz w:val="17"/>
          <w:szCs w:val="17"/>
          <w:u w:val="single" w:color="auto"/>
          <w:color w:val="auto"/>
        </w:rPr>
        <w:t>Schedule B</w:t>
      </w:r>
      <w:r>
        <w:rPr>
          <w:rFonts w:ascii="Arial" w:cs="Arial" w:eastAsia="Arial" w:hAnsi="Arial"/>
          <w:sz w:val="17"/>
          <w:szCs w:val="17"/>
          <w:color w:val="auto"/>
        </w:rPr>
        <w:t>, and electronic road shows, if any, furnished to you before first use, the Company has not prepared, used or referred to, and will not, without your prior written consent (such consent not to be unreasonably withheld, conditioned or delayed),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177" w:lineRule="exact"/>
        <w:rPr>
          <w:rFonts w:ascii="Arial" w:cs="Arial" w:eastAsia="Arial" w:hAnsi="Arial"/>
          <w:sz w:val="17"/>
          <w:szCs w:val="17"/>
          <w:b w:val="1"/>
          <w:bCs w:val="1"/>
          <w:color w:val="auto"/>
        </w:rPr>
      </w:pPr>
    </w:p>
    <w:p>
      <w:pPr>
        <w:ind w:left="-656" w:right="40" w:firstLine="656"/>
        <w:spacing w:after="0" w:line="258" w:lineRule="auto"/>
        <w:tabs>
          <w:tab w:leader="none" w:pos="887"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Distribution of Offering Material By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later of (i) the expiration or termination of the option granted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several Underwriters in Section 2, and (ii) the completion of the Underwriters’ distribution of the Offered Shares,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the free writing prospectuses, if any, identified on </w:t>
      </w:r>
      <w:r>
        <w:rPr>
          <w:rFonts w:ascii="Arial" w:cs="Arial" w:eastAsia="Arial" w:hAnsi="Arial"/>
          <w:sz w:val="18"/>
          <w:szCs w:val="18"/>
          <w:b w:val="1"/>
          <w:bCs w:val="1"/>
          <w:u w:val="single" w:color="auto"/>
          <w:color w:val="auto"/>
        </w:rPr>
        <w:t>Schedule B</w:t>
      </w:r>
      <w:r>
        <w:rPr>
          <w:rFonts w:ascii="Arial" w:cs="Arial" w:eastAsia="Arial" w:hAnsi="Arial"/>
          <w:sz w:val="18"/>
          <w:szCs w:val="18"/>
          <w:color w:val="auto"/>
        </w:rPr>
        <w:t xml:space="preserve"> hereto and any Permitted Section 5(d) Communications.</w:t>
      </w:r>
    </w:p>
    <w:p>
      <w:pPr>
        <w:spacing w:after="0" w:line="183" w:lineRule="exact"/>
        <w:rPr>
          <w:rFonts w:ascii="Arial" w:cs="Arial" w:eastAsia="Arial" w:hAnsi="Arial"/>
          <w:sz w:val="18"/>
          <w:szCs w:val="18"/>
          <w:b w:val="1"/>
          <w:bCs w:val="1"/>
          <w:color w:val="auto"/>
        </w:rPr>
      </w:pPr>
    </w:p>
    <w:p>
      <w:pPr>
        <w:ind w:left="924" w:hanging="924"/>
        <w:spacing w:after="0"/>
        <w:tabs>
          <w:tab w:leader="none" w:pos="92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Underwriting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b w:val="1"/>
          <w:bCs w:val="1"/>
          <w:color w:val="auto"/>
        </w:rPr>
      </w:pPr>
    </w:p>
    <w:p>
      <w:pPr>
        <w:ind w:left="-656" w:firstLine="656"/>
        <w:spacing w:after="0" w:line="261" w:lineRule="auto"/>
        <w:tabs>
          <w:tab w:leader="none" w:pos="93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Shares have been duly authorized for issuance and sale pursuant to this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when issued and delivered by the Company against payment therefor pursuant to this Agreement, will be validly issued, fully paid and not subject to calls for any additional payments (nonassessable), and the issuance and sale of the Offered Shares is not subject to any preemptive rights, rights of first refusal or other similar rights to subscribe for or purchase the Offered Shares.</w:t>
      </w:r>
    </w:p>
    <w:p>
      <w:pPr>
        <w:spacing w:after="0" w:line="179" w:lineRule="exact"/>
        <w:rPr>
          <w:rFonts w:ascii="Arial" w:cs="Arial" w:eastAsia="Arial" w:hAnsi="Arial"/>
          <w:sz w:val="18"/>
          <w:szCs w:val="18"/>
          <w:b w:val="1"/>
          <w:bCs w:val="1"/>
          <w:color w:val="auto"/>
        </w:rPr>
      </w:pPr>
    </w:p>
    <w:p>
      <w:pPr>
        <w:jc w:val="both"/>
        <w:ind w:left="-656" w:right="40" w:firstLine="656"/>
        <w:spacing w:after="0" w:line="266" w:lineRule="auto"/>
        <w:tabs>
          <w:tab w:leader="none" w:pos="921"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Applicable Registration or Other Similar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persons with registration or other similar rights to have any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debt securities registered for sale under the Registration Statement or included in the offering contemplated by this Agreement, except for such rights as have been duly waived.</w:t>
      </w:r>
    </w:p>
    <w:p>
      <w:pPr>
        <w:spacing w:after="0" w:line="175" w:lineRule="exact"/>
        <w:rPr>
          <w:rFonts w:ascii="Arial" w:cs="Arial" w:eastAsia="Arial" w:hAnsi="Arial"/>
          <w:sz w:val="18"/>
          <w:szCs w:val="18"/>
          <w:b w:val="1"/>
          <w:bCs w:val="1"/>
          <w:color w:val="auto"/>
        </w:rPr>
      </w:pPr>
    </w:p>
    <w:p>
      <w:pPr>
        <w:ind w:left="-656" w:right="100" w:firstLine="656"/>
        <w:spacing w:after="0" w:line="287" w:lineRule="auto"/>
        <w:tabs>
          <w:tab w:leader="none" w:pos="887"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Material Adverse Change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otherwise disclosed in the Registration Statement, the Time of Sale Prospectus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Prospectus, subsequent to the respective dates as of which information is given in the Registration Statement, the Time of Sale Prospectus and the Prospectus: (i) there has been no material adverse change, or any development that would reasonably be expected to result in a material adverse change, in the condition, financial or otherwise, or in the earnings, business, properties, operations, operating results, assets, liabilities or prospects, whether or not arising from transactions in the ordinary course of business, of the Company and its subsidiaries, considered as one entity (any such change being referred to herein as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 (ii) the Company and its subsidiaries, considered as one entity, have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has not entered into any material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252730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2" w:name="page63"/>
    <w:bookmarkEnd w:id="62"/>
    <w:p>
      <w:pPr>
        <w:ind w:left="-656" w:right="80" w:firstLine="656"/>
        <w:spacing w:after="0" w:line="294" w:lineRule="auto"/>
        <w:tabs>
          <w:tab w:leader="none" w:pos="926"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Independent Accountants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knowledge of the Company, KPMG LLP, which has expressed its opinion with respect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statements (which term as used in this Agreement includes the related notes thereto) filed with the Commission as a part of the Registration Statement, the Time of Sale Prospectus and the Prospectus, is (i) an independent registered public accounting firm as required by the Securities Act, the Exchange Act and the rules of the Public Company Accounting Oversight Board (“</w:t>
      </w:r>
      <w:r>
        <w:rPr>
          <w:rFonts w:ascii="Arial" w:cs="Arial" w:eastAsia="Arial" w:hAnsi="Arial"/>
          <w:sz w:val="16"/>
          <w:szCs w:val="16"/>
          <w:b w:val="1"/>
          <w:bCs w:val="1"/>
          <w:color w:val="auto"/>
        </w:rPr>
        <w:t>PCAOB</w:t>
      </w:r>
      <w:r>
        <w:rPr>
          <w:rFonts w:ascii="Arial" w:cs="Arial" w:eastAsia="Arial" w:hAnsi="Arial"/>
          <w:sz w:val="16"/>
          <w:szCs w:val="16"/>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59" w:lineRule="exact"/>
        <w:rPr>
          <w:rFonts w:ascii="Arial" w:cs="Arial" w:eastAsia="Arial" w:hAnsi="Arial"/>
          <w:sz w:val="16"/>
          <w:szCs w:val="16"/>
          <w:b w:val="1"/>
          <w:bCs w:val="1"/>
          <w:color w:val="auto"/>
        </w:rPr>
      </w:pPr>
    </w:p>
    <w:p>
      <w:pPr>
        <w:ind w:left="-656" w:firstLine="656"/>
        <w:spacing w:after="0" w:line="286" w:lineRule="auto"/>
        <w:tabs>
          <w:tab w:leader="none" w:pos="936"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Financial Statements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financial statements filed with the Commission as a part of the Registration Statement, the Time of Sale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Prospectus and 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all material respects, in conformity with generally accepted accounting principles as applied in the United States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 periods involved, except as may be expressly stated in the related notes thereto. The interactive data in eXtensible Business Reporting Language included or incorporated by reference in the Registration Statement, the Time of Sale Prospectus and the Prospectus fairly presents the information called for in all material respects and has been prepared in accordance with the Commission’s rules and guidelines applicable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fairly present, in all material respects, the information set forth therein on a basis consistent with that of the audited financial statements contained in the Registration Statement, the Time of Sale Prospectus and the Prospectus. All disclosures contained in the Registration Statement, any preliminary prospectus or the Prospectus and any free writing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Prospectus.</w:t>
      </w:r>
    </w:p>
    <w:p>
      <w:pPr>
        <w:spacing w:after="0" w:line="164" w:lineRule="exact"/>
        <w:rPr>
          <w:rFonts w:ascii="Arial" w:cs="Arial" w:eastAsia="Arial" w:hAnsi="Arial"/>
          <w:sz w:val="16"/>
          <w:szCs w:val="16"/>
          <w:b w:val="1"/>
          <w:bCs w:val="1"/>
          <w:color w:val="auto"/>
        </w:rPr>
      </w:pPr>
    </w:p>
    <w:p>
      <w:pPr>
        <w:ind w:left="-656" w:right="120" w:firstLine="656"/>
        <w:spacing w:after="0" w:line="274" w:lineRule="auto"/>
        <w:tabs>
          <w:tab w:leader="none" w:pos="887"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Company’s Accounting System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each of its subsidiaries make and keep books and records that are accurate in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 respects and maintain a system of internal accounting controls designed to, and which the Company believes is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258445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63" w:name="page64"/>
    <w:bookmarkEnd w:id="63"/>
    <w:p>
      <w:pPr>
        <w:ind w:left="-656" w:firstLine="656"/>
        <w:spacing w:after="0" w:line="289" w:lineRule="auto"/>
        <w:tabs>
          <w:tab w:leader="none" w:pos="926"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 Controls and Procedures; Deficiencies in or Changes to Internal Control Over Financial Reporting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and (ii) are effective in all material respects to perform the functions for which they were established. Since the end of the Company’s most recent audited fiscal year, there have been no significant deficiencies or material weakness in the Company’s internal control over financial reporting (whether or not remediated) and there has been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66" w:lineRule="exact"/>
        <w:rPr>
          <w:rFonts w:ascii="Arial" w:cs="Arial" w:eastAsia="Arial" w:hAnsi="Arial"/>
          <w:sz w:val="16"/>
          <w:szCs w:val="16"/>
          <w:b w:val="1"/>
          <w:bCs w:val="1"/>
          <w:color w:val="auto"/>
        </w:rPr>
      </w:pPr>
    </w:p>
    <w:p>
      <w:pPr>
        <w:ind w:left="-656" w:right="40" w:firstLine="656"/>
        <w:spacing w:after="0" w:line="255" w:lineRule="auto"/>
        <w:tabs>
          <w:tab w:leader="none" w:pos="84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Incorporation and Good Standing of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been duly incorporated and is validly existing as a 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good 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in the Commonwealth of Pennsylvania and each other jurisdiction in which such qualification is required, whether by reason of the ownership or leasing of property or the conduct of business, except where the failure to so qualify or to be in good standing would not reasonably be expected, individually or in the aggregate, to result in a Material Adverse Change.</w:t>
      </w:r>
    </w:p>
    <w:p>
      <w:pPr>
        <w:spacing w:after="0" w:line="188" w:lineRule="exact"/>
        <w:rPr>
          <w:rFonts w:ascii="Arial" w:cs="Arial" w:eastAsia="Arial" w:hAnsi="Arial"/>
          <w:sz w:val="18"/>
          <w:szCs w:val="18"/>
          <w:b w:val="1"/>
          <w:bCs w:val="1"/>
          <w:color w:val="auto"/>
        </w:rPr>
      </w:pPr>
    </w:p>
    <w:p>
      <w:pPr>
        <w:ind w:left="-656" w:firstLine="656"/>
        <w:spacing w:after="0" w:line="286" w:lineRule="auto"/>
        <w:tabs>
          <w:tab w:leader="none" w:pos="887"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Subsidiaries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subsidiaries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purposes of this Agreement, as defined in Rule 405 under the Securities 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so qualify or to be in good standing would not reasonably be expected, individually or in the aggregate, to result in a Material Adverse Change. All of the issued and outstanding capital stock or other equity or ownership interests of each of the Company’s subsidiaries have been duly authorized and validly issued, are fully paid and nonassessable (or equivalent in the applicable jurisdiction of the organization)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257175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64" w:name="page65"/>
    <w:bookmarkEnd w:id="64"/>
    <w:p>
      <w:pPr>
        <w:ind w:left="-656" w:right="80" w:firstLine="656"/>
        <w:spacing w:after="0" w:line="287" w:lineRule="auto"/>
        <w:tabs>
          <w:tab w:leader="none" w:pos="921"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Capitalization and Other Capital Stock Matters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authorized, issued and outstanding capital stock of the Company is as set forth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Time of Sale Prospectus and the Prospectus). The Shares (including the Offered Shares) conform in all material respects to the description thereof contained in the Time of Sale Prospectus. All of the issued and outstanding Shares have been duly authorized and validly issued, are fully paid and nonassessable and have been issued in compliance with all federal and state securities laws. 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the Time of Sale Prospectus and the Prospectus. The descriptions of the Company’s stock option, stock bonus and other stock plans or arrangements, and the options or other rights granted thereunder, set forth in the Registration Statement, the Time of Sale Prospectus and the Prospectus accurately and fairly present, in all material respects, the information required to be shown with respect to such plans, arrangements, options and rights.</w:t>
      </w:r>
    </w:p>
    <w:p>
      <w:pPr>
        <w:spacing w:after="0" w:line="167" w:lineRule="exact"/>
        <w:rPr>
          <w:rFonts w:ascii="Arial" w:cs="Arial" w:eastAsia="Arial" w:hAnsi="Arial"/>
          <w:sz w:val="16"/>
          <w:szCs w:val="16"/>
          <w:b w:val="1"/>
          <w:bCs w:val="1"/>
          <w:color w:val="auto"/>
        </w:rPr>
      </w:pPr>
    </w:p>
    <w:p>
      <w:pPr>
        <w:jc w:val="both"/>
        <w:ind w:left="-656" w:right="80" w:firstLine="656"/>
        <w:spacing w:after="0" w:line="347" w:lineRule="auto"/>
        <w:tabs>
          <w:tab w:leader="none" w:pos="887"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Stock Exchange Listing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Offered Shares are registered pursuant to Section 12(b) or (12(g) of the Exchange Act and are listed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Nasdaq Global Market (“</w:t>
      </w:r>
      <w:r>
        <w:rPr>
          <w:rFonts w:ascii="Arial" w:cs="Arial" w:eastAsia="Arial" w:hAnsi="Arial"/>
          <w:sz w:val="16"/>
          <w:szCs w:val="16"/>
          <w:b w:val="1"/>
          <w:bCs w:val="1"/>
          <w:color w:val="auto"/>
        </w:rPr>
        <w:t>Nasdaq</w:t>
      </w:r>
      <w:r>
        <w:rPr>
          <w:rFonts w:ascii="Arial" w:cs="Arial" w:eastAsia="Arial" w:hAnsi="Arial"/>
          <w:sz w:val="16"/>
          <w:szCs w:val="16"/>
          <w:color w:val="auto"/>
        </w:rPr>
        <w:t>”). To the Company’s knowledge, it is in material compliance with all applicable listing requirements of the Nasdaq.</w:t>
      </w:r>
    </w:p>
    <w:p>
      <w:pPr>
        <w:spacing w:after="0" w:line="115" w:lineRule="exact"/>
        <w:rPr>
          <w:rFonts w:ascii="Arial" w:cs="Arial" w:eastAsia="Arial" w:hAnsi="Arial"/>
          <w:sz w:val="16"/>
          <w:szCs w:val="16"/>
          <w:b w:val="1"/>
          <w:bCs w:val="1"/>
          <w:color w:val="auto"/>
        </w:rPr>
      </w:pPr>
    </w:p>
    <w:p>
      <w:pPr>
        <w:ind w:left="-656" w:firstLine="656"/>
        <w:spacing w:after="0" w:line="284" w:lineRule="auto"/>
        <w:tabs>
          <w:tab w:leader="none" w:pos="887"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Non-Contravention of Existing Instruments; No Further Authorizations or Approvals Required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subsidiaries is in violation of its charter or by-laws, partnership agreement or operating agreement or similar organizational documents, as applicable, or is in default (or, with the giving of notice or lapse of time, would be in default) (“</w:t>
      </w:r>
      <w:r>
        <w:rPr>
          <w:rFonts w:ascii="Arial" w:cs="Arial" w:eastAsia="Arial" w:hAnsi="Arial"/>
          <w:sz w:val="16"/>
          <w:szCs w:val="16"/>
          <w:b w:val="1"/>
          <w:bCs w:val="1"/>
          <w:color w:val="auto"/>
        </w:rPr>
        <w:t>Default</w:t>
      </w:r>
      <w:r>
        <w:rPr>
          <w:rFonts w:ascii="Arial" w:cs="Arial" w:eastAsia="Arial" w:hAnsi="Arial"/>
          <w:sz w:val="16"/>
          <w:szCs w:val="16"/>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Arial" w:cs="Arial" w:eastAsia="Arial" w:hAnsi="Arial"/>
          <w:sz w:val="16"/>
          <w:szCs w:val="16"/>
          <w:b w:val="1"/>
          <w:bCs w:val="1"/>
          <w:color w:val="auto"/>
        </w:rPr>
        <w:t>Existing Instrument</w:t>
      </w:r>
      <w:r>
        <w:rPr>
          <w:rFonts w:ascii="Arial" w:cs="Arial" w:eastAsia="Arial" w:hAnsi="Arial"/>
          <w:sz w:val="16"/>
          <w:szCs w:val="16"/>
          <w:color w:val="auto"/>
        </w:rPr>
        <w:t>”), except for such Defaults as would not reasonably be expected, individually or in the aggregate, to result in a Material Adverse Change. The Company’s execution, delivery and performance of this Agreement, 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in the case of clauses (ii) and (iii) as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the Time of Sale Prospectus and the Prospectus, except such as have been obtained or made by the Company and are in full force and effect under the Securities Act and such as may be required under applicable state securities or blue sky laws or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As used herein, a “</w:t>
      </w:r>
      <w:r>
        <w:rPr>
          <w:rFonts w:ascii="Arial" w:cs="Arial" w:eastAsia="Arial" w:hAnsi="Arial"/>
          <w:sz w:val="16"/>
          <w:szCs w:val="16"/>
          <w:b w:val="1"/>
          <w:bCs w:val="1"/>
          <w:color w:val="auto"/>
        </w:rPr>
        <w:t>Debt Repayment Triggering Event</w:t>
      </w:r>
      <w:r>
        <w:rPr>
          <w:rFonts w:ascii="Arial" w:cs="Arial" w:eastAsia="Arial" w:hAnsi="Arial"/>
          <w:sz w:val="16"/>
          <w:szCs w:val="16"/>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260985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65" w:name="page66"/>
    <w:bookmarkEnd w:id="65"/>
    <w:p>
      <w:pPr>
        <w:ind w:left="-656" w:right="80" w:firstLine="656"/>
        <w:spacing w:after="0" w:line="263" w:lineRule="auto"/>
        <w:tabs>
          <w:tab w:leader="none" w:pos="911"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Laws. </w:t>
      </w:r>
      <w:r>
        <w:rPr>
          <w:rFonts w:ascii="Arial" w:cs="Arial" w:eastAsia="Arial" w:hAnsi="Arial"/>
          <w:sz w:val="18"/>
          <w:szCs w:val="18"/>
          <w:color w:val="auto"/>
        </w:rPr>
        <w:t>The Company and its subsidiaries have been and are in compliance with all applicable laws, rules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except where failure to be so in compliance would not reasonably be expected, individually or in the aggregate, to result in a Material Adverse Change.</w:t>
      </w:r>
    </w:p>
    <w:p>
      <w:pPr>
        <w:spacing w:after="0" w:line="179" w:lineRule="exact"/>
        <w:rPr>
          <w:rFonts w:ascii="Arial" w:cs="Arial" w:eastAsia="Arial" w:hAnsi="Arial"/>
          <w:sz w:val="18"/>
          <w:szCs w:val="18"/>
          <w:b w:val="1"/>
          <w:bCs w:val="1"/>
          <w:color w:val="auto"/>
        </w:rPr>
      </w:pPr>
    </w:p>
    <w:p>
      <w:pPr>
        <w:ind w:left="-656" w:right="40" w:firstLine="656"/>
        <w:spacing w:after="0" w:line="255" w:lineRule="auto"/>
        <w:tabs>
          <w:tab w:leader="none" w:pos="946"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Material Actions or Proceedings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is no action, suit, proceeding, inquiry or investigation brought by or before any legal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governmental entity now pending or, to the knowledge of the Company, threatened, against the Company or any of its subsidiaries, which would reasonably be expected, individually or in the aggregate, to result in a Material Adverse Change or materially and adversely affect the consummation of the transactions contemplated by this Agreement or the performance by the Company of its obligations hereunder. No material labor dispute with the employees of the Company or any of its subsidiaries, or with the employees of any principal supplier, manufacturer, customer or contractor of the Company, exists or, to the knowledge of the Company, is threatened or imminent, which would reasonably be expected, individually or in the aggregate, to result in a Material Adverse Change.</w:t>
      </w:r>
    </w:p>
    <w:p>
      <w:pPr>
        <w:spacing w:after="0" w:line="188" w:lineRule="exact"/>
        <w:rPr>
          <w:rFonts w:ascii="Arial" w:cs="Arial" w:eastAsia="Arial" w:hAnsi="Arial"/>
          <w:sz w:val="18"/>
          <w:szCs w:val="18"/>
          <w:b w:val="1"/>
          <w:bCs w:val="1"/>
          <w:color w:val="auto"/>
        </w:rPr>
      </w:pPr>
    </w:p>
    <w:p>
      <w:pPr>
        <w:ind w:left="-656" w:firstLine="656"/>
        <w:spacing w:after="0" w:line="283" w:lineRule="auto"/>
        <w:tabs>
          <w:tab w:leader="none" w:pos="936"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Intellectual Property Rights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own, or have obtained valid and enforceable licenses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inventions, patent applications, patents, trademarks, trade names, service names, copyrights, trade secrets and other intellectual property described in the Registration Statement, the Time of Sale Prospectus and the Prospectus as being owned or licensed by them or which are necessary for the conduct of their respective businesses as currently conducted or as currently proposed to be conducted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and the conduct of their respective businesses does not and will not infringe, misappropriate or otherwise conflict with any such rights of others, in each case in any material respect. Except as otherwise disclosed in the Registration Statement, Time of Sale Prospectus or the Prospectus, to the Company’s knowledge, none of the Intellectual Property of the Company has been adjudged by a court of competent jurisdiction to be invalid or unenforceable, in whole or in part. To the Company’s knowledge: (i) there are no third parties who have rights to any Intellectual Property, except for customary reversionary rights of third-party licensors with respect to Intellectual Property that is disclosed in the Registration Statement, the Time of Sale Prospectus and the Prospectus as licensed to the Company or one or more of its subsidiaries, and the Company has not granted any material liens, security interests, or encumbrances on or with respect to such Intellectual Property except as otherwise disclosed in the Registration Statement, Time of Sale Prospectus or the Prospectus; (ii) there is no infringement, misappropriation or dilution by third parties of any Intellectual Property; (iii) the Company is not infringing, misappropriating, diluting or otherwise violating the intellectual property rights of third parties, in any respect which would reasonably be expected to result in a Material Adverse Change; (iv) neither the Company nor any of its subsidiaries has received any notice of infringement of or conflict with asserted rights of others with respect to any of the foregoing which, singly or in the aggregate, if the subject of an unfavorable decision, ruling or finding, would reasonably be expected to result in a Material Adverse Change; (v) the Company is the owner or co-owner of the Intellectual Property owned by it and has the valid right to use the Intellectual Property; (vi) there are no material defects in any of the patents or patent applications included in the Intellectual Property; (vii) the duties of candor and good faith required by the U.S. Patent and Trademark Office (“</w:t>
      </w:r>
      <w:r>
        <w:rPr>
          <w:rFonts w:ascii="Arial" w:cs="Arial" w:eastAsia="Arial" w:hAnsi="Arial"/>
          <w:sz w:val="16"/>
          <w:szCs w:val="16"/>
          <w:b w:val="1"/>
          <w:bCs w:val="1"/>
          <w:color w:val="auto"/>
        </w:rPr>
        <w:t>USPTO</w:t>
      </w:r>
      <w:r>
        <w:rPr>
          <w:rFonts w:ascii="Arial" w:cs="Arial" w:eastAsia="Arial" w:hAnsi="Arial"/>
          <w:sz w:val="16"/>
          <w:szCs w:val="16"/>
          <w:color w:val="auto"/>
        </w:rPr>
        <w:t>”) during the prosecution of the United States patents and patent applications included in the Intellectual Property have been complied with, and all such requirements in foreign offices having similar requirements applicable to the Company and its subsidiaries have been complied with; (viii) the Company and its subsidiaries have taken all reasonable steps to protect, maintain and safeguard their Intellectual Property, and (iv)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There is no pending or, to the Company’s knowledge, threatened action, suit, proceeding or claim by others: (A) challenging the Company’s rights in or to any Intellectual Property; (B) challenging the validity, enforceability or scope of any Intellectual Property; or (C) asserting that the Company or any of its subsidiaries infringes or otherwise violates, or would, upon the commercialization of any product or service described in the Registration Statement, the Time of Sale Prospectus or the Prospectus as under development, infringe or violate, any patent, trademark, trade name, service name, copyright, trade secret or other proprietary rights of others. Other than as disclosed in the Registration Statement, the Time of Sale Prospectus and the Prospectus, neither the Company nor its subsidiaries is obligated to pay a material royalty, grant a license or option, or provide other material consideration to any third party in connection with the Company’s Intellectual Property. The Company and its subsidiaries have complied in all material respects with the terms of each agreement pursuant to which Intellectual Property has been licensed to the Company or any subsidiary, and all such agreements are in full force and effect. All patents and patent applications owned by or exclusively licensed to the Company or any of its affiliates or under which the Company or any of its affiliates has rights have, to the knowledge of the Company, been duly and properly filed and each issued patent is being diligently maintained; to the knowledge of the Company, the parties prosecuting such applications have complied with their duty of disclosure to the USPTO. To the Company’s knowledge, there are no material defects in any of the patents or patent applications owned by, or exclusively licensed to the Company or its subsidiaries and there are no facts required to be disclosed to the USPTO that were not disclosed to the USPTO and which would preclude the grant of a patent in connection with any such application. The products described in the Registration Statement, the Time of Sale Prospectus and the Prospectus as under development by the Company or any subsidiary fall within the scope of the claims of one or more patents or patent applications owned by, or exclusively licensed to, the Company or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400050</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6" w:name="page67"/>
    <w:bookmarkEnd w:id="66"/>
    <w:p>
      <w:pPr>
        <w:ind w:left="-656" w:firstLine="656"/>
        <w:spacing w:after="0" w:line="284" w:lineRule="auto"/>
        <w:tabs>
          <w:tab w:leader="none" w:pos="887"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Regulatory Matters; Products and Product Candidates</w:t>
      </w:r>
      <w:r>
        <w:rPr>
          <w:rFonts w:ascii="Arial" w:cs="Arial" w:eastAsia="Arial" w:hAnsi="Arial"/>
          <w:sz w:val="16"/>
          <w:szCs w:val="16"/>
          <w:color w:val="auto"/>
        </w:rPr>
        <w:t>. Except as described in the Registration Statement, the Time of Sale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Prospectus, and the Prospectus, the Company: (i) has operated and currently operates its business in compliance with applicable provisions of the Health Care Laws (as defined below), except where failure to be so in compliance would not reasonably be expected, individually or in the aggregate, to result in a Material Adverse Change; (ii) has not received any FDA Form 483, written notice of adverse finding, warning letter, untitled letter or other correspondence or written notice from any court or arbitrator or governmental or regulatory authority alleging or asserting non-compliance with (A) any Health Care Laws or (B) or any Permits (as hereinafter defined) required by any such Health Care Laws (“</w:t>
      </w:r>
      <w:r>
        <w:rPr>
          <w:rFonts w:ascii="Arial" w:cs="Arial" w:eastAsia="Arial" w:hAnsi="Arial"/>
          <w:sz w:val="16"/>
          <w:szCs w:val="16"/>
          <w:b w:val="1"/>
          <w:bCs w:val="1"/>
          <w:color w:val="auto"/>
        </w:rPr>
        <w:t>Regulatory Authorizations</w:t>
      </w:r>
      <w:r>
        <w:rPr>
          <w:rFonts w:ascii="Arial" w:cs="Arial" w:eastAsia="Arial" w:hAnsi="Arial"/>
          <w:sz w:val="16"/>
          <w:szCs w:val="16"/>
          <w:color w:val="auto"/>
        </w:rPr>
        <w:t>”); (iii) possesses all Regulatory Authorizations required to conduct its business as currently conducted and such Regulatory Authorizations are valid and in full force and effect and the Company is not in violation, in any material respect, of any term of any such Regulatory Authorizations; (iv) has not received notice of any claim, action, suit, proceeding, hearing, enforcement, investigation, arbitration or other action from the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the Department of Health and Human Services (“</w:t>
      </w:r>
      <w:r>
        <w:rPr>
          <w:rFonts w:ascii="Arial" w:cs="Arial" w:eastAsia="Arial" w:hAnsi="Arial"/>
          <w:sz w:val="16"/>
          <w:szCs w:val="16"/>
          <w:b w:val="1"/>
          <w:bCs w:val="1"/>
          <w:color w:val="auto"/>
        </w:rPr>
        <w:t>HHS</w:t>
      </w:r>
      <w:r>
        <w:rPr>
          <w:rFonts w:ascii="Arial" w:cs="Arial" w:eastAsia="Arial" w:hAnsi="Arial"/>
          <w:sz w:val="16"/>
          <w:szCs w:val="16"/>
          <w:color w:val="auto"/>
        </w:rPr>
        <w:t>”) and any comparable foreign or other regulatory authority to which it is subject (collectively, the “</w:t>
      </w:r>
      <w:r>
        <w:rPr>
          <w:rFonts w:ascii="Arial" w:cs="Arial" w:eastAsia="Arial" w:hAnsi="Arial"/>
          <w:sz w:val="16"/>
          <w:szCs w:val="16"/>
          <w:b w:val="1"/>
          <w:bCs w:val="1"/>
          <w:color w:val="auto"/>
        </w:rPr>
        <w:t>Applicable</w:t>
      </w:r>
      <w:r>
        <w:rPr>
          <w:rFonts w:ascii="Arial" w:cs="Arial" w:eastAsia="Arial" w:hAnsi="Arial"/>
          <w:sz w:val="16"/>
          <w:szCs w:val="16"/>
          <w:color w:val="auto"/>
        </w:rPr>
        <w:t xml:space="preserve"> </w:t>
      </w:r>
      <w:r>
        <w:rPr>
          <w:rFonts w:ascii="Arial" w:cs="Arial" w:eastAsia="Arial" w:hAnsi="Arial"/>
          <w:sz w:val="16"/>
          <w:szCs w:val="16"/>
          <w:b w:val="1"/>
          <w:bCs w:val="1"/>
          <w:color w:val="auto"/>
        </w:rPr>
        <w:t>Regulatory Authorities</w:t>
      </w:r>
      <w:r>
        <w:rPr>
          <w:rFonts w:ascii="Arial" w:cs="Arial" w:eastAsia="Arial" w:hAnsi="Arial"/>
          <w:sz w:val="16"/>
          <w:szCs w:val="16"/>
          <w:color w:val="auto"/>
        </w:rPr>
        <w:t>”) or any other third party alleging that any product operation or activity is in material violation of any Health Care Laws or</w:t>
      </w:r>
      <w:r>
        <w:rPr>
          <w:rFonts w:ascii="Arial" w:cs="Arial" w:eastAsia="Arial" w:hAnsi="Arial"/>
          <w:sz w:val="16"/>
          <w:szCs w:val="16"/>
          <w:b w:val="1"/>
          <w:bCs w:val="1"/>
          <w:color w:val="auto"/>
        </w:rPr>
        <w:t xml:space="preserve"> </w:t>
      </w:r>
      <w:r>
        <w:rPr>
          <w:rFonts w:ascii="Arial" w:cs="Arial" w:eastAsia="Arial" w:hAnsi="Arial"/>
          <w:sz w:val="16"/>
          <w:szCs w:val="16"/>
          <w:color w:val="auto"/>
        </w:rPr>
        <w:t>Regulatory Authorizations and has no knowledge that the Applicable Regulatory Authorities or any other third party is considering any such claim, litigation, arbitration, action, suit, investigation or proceeding; (v) has not received notice that any of the Applicable Regulatory Authorities has taken, is taking or intends to take action to limit, suspend, modify or revoke any material Regulatory Authorizations and has no knowledge that any of the Applicable Regulatory Authorities is considering such action; (vi) except as would not reasonably be expected to result in a Material Adverse Change, has filed, obtained, maintained or submitted all material reports, documents, forms, notices, applications, records, claims, submissions and supplements or amendments as required by any Health Care Laws or Regulatory Authorizations and that all such reports, documents, forms, notices, applications, records, claims, submissions and supplements or amendments were materially complete and correct on the date filed (or were materially corrected or supplemented by a subsequent submission); (vii) is not a party to or have any ongoing reporting obligations pursuant to any corporate integrity agreements, deferred prosecution agreements, monitoring agreements, consent decrees, settlement orders, plans of correction or similar agreements with or imposed by any Applicable Regulatory Authority; and (viii) has not been, and its employees, officers, directors, and, to the Company’s knowledge, agents, have not been, excluded, suspended, debarred or is otherwise ineligible from participation in any government health care program or human clinical research or, to the knowledge of the Company, is subject to a governmental inquiry, investigation, proceeding, or other similar action that would reasonably be expected to result in debarment, suspension, exclusion or other ineligibility.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395605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67" w:name="page68"/>
    <w:bookmarkEnd w:id="67"/>
    <w:p>
      <w:pPr>
        <w:ind w:left="-656" w:right="20" w:firstLine="656"/>
        <w:spacing w:after="0" w:line="254" w:lineRule="auto"/>
        <w:tabs>
          <w:tab w:leader="none" w:pos="921"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Health Care Laws</w:t>
      </w:r>
      <w:r>
        <w:rPr>
          <w:rFonts w:ascii="Arial" w:cs="Arial" w:eastAsia="Arial" w:hAnsi="Arial"/>
          <w:sz w:val="18"/>
          <w:szCs w:val="18"/>
          <w:color w:val="auto"/>
        </w:rPr>
        <w:t>” means Title XVIII of the Social Security Act, 42 U.S.C. §§ 1395-1395hhh (the Medicare statute); Title XIX of the Social Security Act, 42 U.S.C. §§ 1396-1396v (the Medicaid statute); the Federal Anti-Kickback Statute, 42 U.S.C. § 1320a-7b(b); the civil False Claims Act, 31 U.S.C. §§ 3729 et seq.; the criminal False Claims Act 42 U.S.C. 1320a-7b(a); any criminal laws relating to health care fraud and abuse, including but not limited to 18 U.S.C. Sections 286 and 287 and the health care fraud criminal provisions under the Health Insurance Portability and Accountability Act of 1996, 42 U.S.C. §§ 1320d et seq., (“</w:t>
      </w:r>
      <w:r>
        <w:rPr>
          <w:rFonts w:ascii="Arial" w:cs="Arial" w:eastAsia="Arial" w:hAnsi="Arial"/>
          <w:sz w:val="18"/>
          <w:szCs w:val="18"/>
          <w:b w:val="1"/>
          <w:bCs w:val="1"/>
          <w:color w:val="auto"/>
        </w:rPr>
        <w:t>HIPAA</w:t>
      </w:r>
      <w:r>
        <w:rPr>
          <w:rFonts w:ascii="Arial" w:cs="Arial" w:eastAsia="Arial" w:hAnsi="Arial"/>
          <w:sz w:val="18"/>
          <w:szCs w:val="18"/>
          <w:color w:val="auto"/>
        </w:rPr>
        <w:t>”); the Civil Monetary Penalties Law, 42 U.S.C. §§ 1320a-7a and 1320a-7b; the Physician Payments Sunshine Act, 42 U.S.C. § 1320a-7h; the Exclusion Law, 42 U.S.C. § 1320a-7; HIPAA, as amended by the Health Information Technology for Economic and Clinical Health Act, 42 U.S.C. §§ 17921 et seq.; the Federal Food, Drug, and Cosmetic Act, 21 U.S.C. §§ 301 et seq.; the Public Health Service Act, 42 U.S.C. §§ 201 et seq.; the regulations promulgated pursuant to such laws; and any similar federal, state and local laws and regulations.</w:t>
      </w:r>
    </w:p>
    <w:p>
      <w:pPr>
        <w:spacing w:after="0" w:line="192" w:lineRule="exact"/>
        <w:rPr>
          <w:rFonts w:ascii="Arial" w:cs="Arial" w:eastAsia="Arial" w:hAnsi="Arial"/>
          <w:sz w:val="18"/>
          <w:szCs w:val="18"/>
          <w:b w:val="1"/>
          <w:bCs w:val="1"/>
          <w:color w:val="auto"/>
        </w:rPr>
      </w:pPr>
    </w:p>
    <w:p>
      <w:pPr>
        <w:ind w:left="-656" w:right="40" w:firstLine="656"/>
        <w:spacing w:after="0" w:line="286" w:lineRule="auto"/>
        <w:tabs>
          <w:tab w:leader="none" w:pos="871"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Regulatory Matters: Manufacturing</w:t>
      </w:r>
      <w:r>
        <w:rPr>
          <w:rFonts w:ascii="Arial" w:cs="Arial" w:eastAsia="Arial" w:hAnsi="Arial"/>
          <w:sz w:val="17"/>
          <w:szCs w:val="17"/>
          <w:color w:val="auto"/>
        </w:rPr>
        <w:t>. To the Company’s knowledge, after due inquiry, the manufacturing facilities and operations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suppliers have (at all times that the Company has been doing business with them) been and are being operated in compliance in all material respects with all applicable statutes, rules, regulations and policies of the Applicable Regulatory Authorities.</w:t>
      </w:r>
    </w:p>
    <w:p>
      <w:pPr>
        <w:spacing w:after="0" w:line="165" w:lineRule="exact"/>
        <w:rPr>
          <w:rFonts w:ascii="Arial" w:cs="Arial" w:eastAsia="Arial" w:hAnsi="Arial"/>
          <w:sz w:val="17"/>
          <w:szCs w:val="17"/>
          <w:b w:val="1"/>
          <w:bCs w:val="1"/>
          <w:color w:val="auto"/>
        </w:rPr>
      </w:pPr>
    </w:p>
    <w:p>
      <w:pPr>
        <w:ind w:left="-656" w:firstLine="656"/>
        <w:spacing w:after="0" w:line="267" w:lineRule="auto"/>
        <w:tabs>
          <w:tab w:leader="none" w:pos="921"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Regulatory Matters: Clinical Trials</w:t>
      </w:r>
      <w:r>
        <w:rPr>
          <w:rFonts w:ascii="Arial" w:cs="Arial" w:eastAsia="Arial" w:hAnsi="Arial"/>
          <w:sz w:val="17"/>
          <w:szCs w:val="17"/>
          <w:color w:val="auto"/>
        </w:rPr>
        <w:t>. All clinical and pre-clinical studies and trials conducted by or on behalf of or sponsored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or in which the Company has participated, with respect to the Company’s products and product candidates, including any such studies and trials that are described in the Registration Statement, the Time of Sale Prospectus and the Prospectus, or the results of which are referred to in the Registration Statement, the Time of Sale Prospectus and the Prospectus, as applicable (collectively, “</w:t>
      </w:r>
      <w:r>
        <w:rPr>
          <w:rFonts w:ascii="Arial" w:cs="Arial" w:eastAsia="Arial" w:hAnsi="Arial"/>
          <w:sz w:val="17"/>
          <w:szCs w:val="17"/>
          <w:b w:val="1"/>
          <w:bCs w:val="1"/>
          <w:color w:val="auto"/>
        </w:rPr>
        <w:t>Company Trials</w:t>
      </w:r>
      <w:r>
        <w:rPr>
          <w:rFonts w:ascii="Arial" w:cs="Arial" w:eastAsia="Arial" w:hAnsi="Arial"/>
          <w:sz w:val="17"/>
          <w:szCs w:val="17"/>
          <w:color w:val="auto"/>
        </w:rPr>
        <w:t>”), were, and if still pending are, being conducted in all material respects in accordance with all applicable Health Care Laws, including, without limitation, Good Clinical Practices and Good Laboratory Practices, standard medical and scientific research procedures and any applicable rules, regulations and policies of the jurisdiction in which such trials and studies are being conducted; the descriptions in the Registration Statement, the Time of Sale Prospectus and the Prospectus of the results of any Company Trials are accurate and complete descriptions in all material respects and fairly present the data derived therefrom; the Company has no knowledge of any other studies or trials not described in the Registration Statement, the Time of Sale Prospectus and the Prospectus, the results of which are inconsistent with or call into question the results described or referred to in the Registration Statement, the Time of Sale Prospectus and the Prospectus; the Company has not received, nor does the Company have knowledge after due inquiry that any of its collaboration partners have received any written notices, correspondence or other communications from the Applicable Regulatory Authorities or any other Governmental Entity requiring or threatening the termination, material modification or suspension of Company Trials, other than ordinary course communications with respect to modifications in connection with the design and implementation of such studies or trials. No investigational device exemption or comparable submission filed by or on behalf of the Company with the FDA has been terminated or suspended by the FDA or any other Applicable Regulatory Authority. To the Company’s knowledge, none of the Company Trials involved any investigator who has been disqualified as a clinical investigator or has been found by the FDA to have engaged in scientific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267335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4"/>
          </w:cols>
          <w:pgMar w:left="976" w:top="904" w:right="37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6" w:firstLine="656"/>
        <w:spacing w:after="0" w:line="293" w:lineRule="auto"/>
        <w:tabs>
          <w:tab w:leader="none" w:pos="921"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Safety Notices. </w:t>
      </w:r>
      <w:r>
        <w:rPr>
          <w:rFonts w:ascii="Arial" w:cs="Arial" w:eastAsia="Arial" w:hAnsi="Arial"/>
          <w:sz w:val="16"/>
          <w:szCs w:val="16"/>
          <w:color w:val="auto"/>
        </w:rPr>
        <w:t>Except as described in the Registration Statement, the Time of Sale Prospectus and the Prospectus, (i) there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recalls, field notifications, field corrections, market withdrawals or replacements, warnings, “dear doctor” letters, investigator notices, safety alerts or other notice of action relating to an alleged lack of safety, efficacy, or regulatory compliance of the Company’s products (“Safety Notices”), and (ii) to the Company’s knowledge, there are no facts that would be reasonably likely to result in (x) a Safety Notice with respect to the Company’s products, (y) a material change in labeling of any of the Company’s products, or (z) a termination or suspension of marketing or testing of any of the Company’s products, except, in each of cases (x), (y) or (z) such as would not, singly or in the aggregate, reasonably be expected to result in a Material Adverse Change.</w:t>
      </w:r>
    </w:p>
    <w:p>
      <w:pPr>
        <w:spacing w:after="0" w:line="160" w:lineRule="exact"/>
        <w:rPr>
          <w:rFonts w:ascii="Arial" w:cs="Arial" w:eastAsia="Arial" w:hAnsi="Arial"/>
          <w:sz w:val="16"/>
          <w:szCs w:val="16"/>
          <w:b w:val="1"/>
          <w:bCs w:val="1"/>
          <w:color w:val="auto"/>
        </w:rPr>
      </w:pPr>
    </w:p>
    <w:p>
      <w:pPr>
        <w:ind w:left="-656" w:right="40" w:firstLine="656"/>
        <w:spacing w:after="0" w:line="255" w:lineRule="auto"/>
        <w:tabs>
          <w:tab w:leader="none" w:pos="911"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All Necessary Permits, etc</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its subsidiaries possess such valid and current material certificates, authorizations,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exemptions, registrations, listings, clearances, approvals, consents or permits required by state, federal or foreign regulatory agencies or bodies to conduct their respective businesses as currently conducted and as described in the Registration Statement, the Time of Sale Prospectus or the Prospectus (“</w:t>
      </w:r>
      <w:r>
        <w:rPr>
          <w:rFonts w:ascii="Arial" w:cs="Arial" w:eastAsia="Arial" w:hAnsi="Arial"/>
          <w:sz w:val="18"/>
          <w:szCs w:val="18"/>
          <w:b w:val="1"/>
          <w:bCs w:val="1"/>
          <w:color w:val="auto"/>
        </w:rPr>
        <w:t>Permits</w:t>
      </w:r>
      <w:r>
        <w:rPr>
          <w:rFonts w:ascii="Arial" w:cs="Arial" w:eastAsia="Arial" w:hAnsi="Arial"/>
          <w:sz w:val="18"/>
          <w:szCs w:val="18"/>
          <w:color w:val="auto"/>
        </w:rPr>
        <w:t>”), except where the failure to so possess would not reasonably be expected, individually or in the aggregate, to result in a Material Adverse Change. Neither the Company nor any of its subsidiaries is in violation of, or in default under, any of the Permits or has received any notice of proceedings relating to the revocation or modification of, or non-compliance with, any such Permit, except as would not reasonably be expected to result in a Material Adverse Change.</w:t>
      </w:r>
    </w:p>
    <w:p>
      <w:pPr>
        <w:spacing w:after="0" w:line="189" w:lineRule="exact"/>
        <w:rPr>
          <w:sz w:val="20"/>
          <w:szCs w:val="20"/>
          <w:color w:val="auto"/>
        </w:rPr>
      </w:pPr>
    </w:p>
    <w:p>
      <w:pPr>
        <w:ind w:left="-656" w:firstLine="656"/>
        <w:spacing w:after="0" w:line="291" w:lineRule="auto"/>
        <w:tabs>
          <w:tab w:leader="none" w:pos="832"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Title to Properties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the Subsidiaries owns any real property. The Company and its subsidiaries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good and marketable title to all of the personal property and other assets reflected as owned in the financial statements referred to in Section 1(j) above (or elsewhere in the Registration Statement, the Time of Sale Prospectus or the Prospectus), in each case free and clear of any security interests, mortgages, liens, encumbrances, equities, adverse claims and other defects, except as disclosed in the Registration Statement, the Time of Sale Prospectus and the Prospectus or as would not reasonably be expected, individually or in the aggregate, to materially affect the value of such property or materially interfere with the use thereof.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159" w:lineRule="exact"/>
        <w:rPr>
          <w:rFonts w:ascii="Arial" w:cs="Arial" w:eastAsia="Arial" w:hAnsi="Arial"/>
          <w:sz w:val="16"/>
          <w:szCs w:val="16"/>
          <w:b w:val="1"/>
          <w:bCs w:val="1"/>
          <w:color w:val="auto"/>
        </w:rPr>
      </w:pPr>
    </w:p>
    <w:p>
      <w:pPr>
        <w:ind w:left="-656" w:right="20" w:firstLine="656"/>
        <w:spacing w:after="0" w:line="254" w:lineRule="auto"/>
        <w:tabs>
          <w:tab w:leader="none" w:pos="807"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Tax Law Compliance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would not reasonably be expected, individually or in the aggregate, to result in a Material Adverse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the Company and its subsidiaries have filed all federal, state, local and foreign tax returns required to be filed through the date hereof or have properly requested extensions thereof, and have paid all taxes required to be paid by any of them and, if due and payable, any related or similar assessment, fine or penalty levied against any of them, other than such taxes, assessments, fines or penalties being contested in good faith and by appropriate proceedings. The Company has made adequate charges, accruals and reserves (in conformity with GAAP) in the applicable financial statements referred to in Section 1(j) above in respect of all federal, state, local and foreign taxes for all periods as to which the tax liability of the Company or any of its subsidiaries has not been finally determined, except to the extent of any inadequacy that would not reasonably be expected to result in a Material Adverse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424815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1440" w:right="359" w:bottom="1440" w:gutter="0" w:footer="0" w:header="0"/>
        </w:sectPr>
      </w:pPr>
    </w:p>
    <w:bookmarkStart w:id="69" w:name="page70"/>
    <w:bookmarkEnd w:id="69"/>
    <w:p>
      <w:pPr>
        <w:ind w:left="-8" w:right="200" w:firstLine="656"/>
        <w:spacing w:after="0" w:line="291" w:lineRule="auto"/>
        <w:tabs>
          <w:tab w:leader="none" w:pos="1504" w:val="left"/>
        </w:tabs>
        <w:numPr>
          <w:ilvl w:val="1"/>
          <w:numId w:val="5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of the Company and its subsidiaries are insured by recognized, financially sound and reputable institutions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policies in such amounts and with such deductibles and covering such risks as the Company reasonably believes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be reasonably expected to result in a Material Adverse Change. Neither the Company nor any of its subsidiaries has been denied any insurance coverage which it has sought or for which it has applied.</w:t>
      </w:r>
    </w:p>
    <w:p>
      <w:pPr>
        <w:spacing w:after="0" w:line="159" w:lineRule="exact"/>
        <w:rPr>
          <w:rFonts w:ascii="Arial" w:cs="Arial" w:eastAsia="Arial" w:hAnsi="Arial"/>
          <w:sz w:val="16"/>
          <w:szCs w:val="16"/>
          <w:b w:val="1"/>
          <w:bCs w:val="1"/>
          <w:color w:val="auto"/>
        </w:rPr>
      </w:pPr>
    </w:p>
    <w:p>
      <w:pPr>
        <w:ind w:left="-8" w:right="100" w:firstLine="656"/>
        <w:spacing w:after="0" w:line="288" w:lineRule="auto"/>
        <w:tabs>
          <w:tab w:leader="none" w:pos="1455" w:val="left"/>
        </w:tabs>
        <w:numPr>
          <w:ilvl w:val="1"/>
          <w:numId w:val="5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Environmental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would not reasonably be expected, individually or in the aggregate, to result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to the Company’s knowledge, threatened release of chemicals, pollutants, contaminants, wastes, toxic substances, hazardous substances, petroleum or petroleum products (collectively, “</w:t>
      </w:r>
      <w:r>
        <w:rPr>
          <w:rFonts w:ascii="Arial" w:cs="Arial" w:eastAsia="Arial" w:hAnsi="Arial"/>
          <w:sz w:val="16"/>
          <w:szCs w:val="16"/>
          <w:b w:val="1"/>
          <w:bCs w:val="1"/>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(ii) the Company and its subsidiaries have all permits, authorizations and approvals required under any applicable Environmental Laws and are each in compliance with their requirements; and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w:t>
      </w:r>
    </w:p>
    <w:p>
      <w:pPr>
        <w:spacing w:after="0" w:line="163" w:lineRule="exact"/>
        <w:rPr>
          <w:rFonts w:ascii="Arial" w:cs="Arial" w:eastAsia="Arial" w:hAnsi="Arial"/>
          <w:sz w:val="16"/>
          <w:szCs w:val="16"/>
          <w:b w:val="1"/>
          <w:bCs w:val="1"/>
          <w:color w:val="auto"/>
        </w:rPr>
      </w:pPr>
    </w:p>
    <w:p>
      <w:pPr>
        <w:ind w:left="-8" w:firstLine="656"/>
        <w:spacing w:after="0" w:line="284" w:lineRule="auto"/>
        <w:tabs>
          <w:tab w:leader="none" w:pos="1504" w:val="left"/>
        </w:tabs>
        <w:numPr>
          <w:ilvl w:val="1"/>
          <w:numId w:val="5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ERISA Compliance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and any “employee benefit plan” (as defined under the Employee Retirement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Security Act of 1974, as amended, and the regulations and published interpretations thereunder (collectively, “</w:t>
      </w:r>
      <w:r>
        <w:rPr>
          <w:rFonts w:ascii="Arial" w:cs="Arial" w:eastAsia="Arial" w:hAnsi="Arial"/>
          <w:sz w:val="16"/>
          <w:szCs w:val="16"/>
          <w:b w:val="1"/>
          <w:bCs w:val="1"/>
          <w:color w:val="auto"/>
        </w:rPr>
        <w:t>ERISA</w:t>
      </w:r>
      <w:r>
        <w:rPr>
          <w:rFonts w:ascii="Arial" w:cs="Arial" w:eastAsia="Arial" w:hAnsi="Arial"/>
          <w:sz w:val="16"/>
          <w:szCs w:val="16"/>
          <w:color w:val="auto"/>
        </w:rPr>
        <w:t>”)) established or maintained by the Company, its subsidiaries or their “ERISA Affiliates” (as defined below) are in compliance in all material respects with ERISA. “</w:t>
      </w:r>
      <w:r>
        <w:rPr>
          <w:rFonts w:ascii="Arial" w:cs="Arial" w:eastAsia="Arial" w:hAnsi="Arial"/>
          <w:sz w:val="16"/>
          <w:szCs w:val="16"/>
          <w:b w:val="1"/>
          <w:bCs w:val="1"/>
          <w:color w:val="auto"/>
        </w:rPr>
        <w:t>ERISA Affiliate</w:t>
      </w:r>
      <w:r>
        <w:rPr>
          <w:rFonts w:ascii="Arial" w:cs="Arial" w:eastAsia="Arial" w:hAnsi="Arial"/>
          <w:sz w:val="16"/>
          <w:szCs w:val="16"/>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Arial" w:cs="Arial" w:eastAsia="Arial" w:hAnsi="Arial"/>
          <w:sz w:val="16"/>
          <w:szCs w:val="16"/>
          <w:b w:val="1"/>
          <w:bCs w:val="1"/>
          <w:color w:val="auto"/>
        </w:rPr>
        <w:t>Code</w:t>
      </w:r>
      <w:r>
        <w:rPr>
          <w:rFonts w:ascii="Arial" w:cs="Arial" w:eastAsia="Arial" w:hAnsi="Arial"/>
          <w:sz w:val="16"/>
          <w:szCs w:val="16"/>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material liability under (i) Title IV of ERISA with respect to termination of, or withdrawal from, any “employee benefit plan” or</w:t>
      </w:r>
    </w:p>
    <w:p>
      <w:pPr>
        <w:spacing w:after="0" w:line="1" w:lineRule="exact"/>
        <w:rPr>
          <w:rFonts w:ascii="Arial" w:cs="Arial" w:eastAsia="Arial" w:hAnsi="Arial"/>
          <w:sz w:val="16"/>
          <w:szCs w:val="16"/>
          <w:b w:val="1"/>
          <w:bCs w:val="1"/>
          <w:color w:val="auto"/>
        </w:rPr>
      </w:pPr>
    </w:p>
    <w:p>
      <w:pPr>
        <w:jc w:val="both"/>
        <w:ind w:left="-8" w:right="120" w:firstLine="8"/>
        <w:spacing w:after="0" w:line="277" w:lineRule="auto"/>
        <w:tabs>
          <w:tab w:leader="none" w:pos="257" w:val="left"/>
        </w:tabs>
        <w:numPr>
          <w:ilvl w:val="0"/>
          <w:numId w:val="59"/>
        </w:numPr>
        <w:rPr>
          <w:rFonts w:ascii="Arial" w:cs="Arial" w:eastAsia="Arial" w:hAnsi="Arial"/>
          <w:sz w:val="17"/>
          <w:szCs w:val="17"/>
          <w:color w:val="auto"/>
        </w:rPr>
      </w:pPr>
      <w:r>
        <w:rPr>
          <w:rFonts w:ascii="Arial" w:cs="Arial" w:eastAsia="Arial" w:hAnsi="Arial"/>
          <w:sz w:val="17"/>
          <w:szCs w:val="17"/>
          <w:color w:val="auto"/>
        </w:rPr>
        <w:t>Sections 412, 4971, 4975 or 4980B of the Code. Each employee benefit plan established or maintained by the Company, its subsidiaries or any of their ERISA Affiliates that is intended to be qualified under Section 401(a) of the Code is so qualified and, to the Company’s knowledge, nothing has occurred, whether by action or failure to act, which would reasonably be expected to cause the loss of such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410210</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0" w:name="page71"/>
    <w:bookmarkEnd w:id="70"/>
    <w:p>
      <w:pPr>
        <w:ind w:left="-656" w:right="140" w:firstLine="656"/>
        <w:spacing w:after="0" w:line="259" w:lineRule="auto"/>
        <w:tabs>
          <w:tab w:leader="none" w:pos="906"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Company Not an “Investment Company.” </w:t>
      </w:r>
      <w:r>
        <w:rPr>
          <w:rFonts w:ascii="Arial" w:cs="Arial" w:eastAsia="Arial" w:hAnsi="Arial"/>
          <w:sz w:val="18"/>
          <w:szCs w:val="18"/>
          <w:color w:val="auto"/>
        </w:rPr>
        <w:t>The Company is not, and will not be, either after receipt of payment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Shares or 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w:t>
      </w:r>
    </w:p>
    <w:p>
      <w:pPr>
        <w:spacing w:after="0" w:line="182" w:lineRule="exact"/>
        <w:rPr>
          <w:rFonts w:ascii="Arial" w:cs="Arial" w:eastAsia="Arial" w:hAnsi="Arial"/>
          <w:sz w:val="18"/>
          <w:szCs w:val="18"/>
          <w:b w:val="1"/>
          <w:bCs w:val="1"/>
          <w:color w:val="auto"/>
        </w:rPr>
      </w:pPr>
    </w:p>
    <w:p>
      <w:pPr>
        <w:ind w:left="-656" w:right="100" w:firstLine="656"/>
        <w:spacing w:after="0" w:line="303" w:lineRule="auto"/>
        <w:tabs>
          <w:tab w:leader="none" w:pos="832"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Price Stabilization or Manipulation; Compliance with Regulation 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subsidiaries has taken,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directly or indirectly, any action designed to or that would reasonably be expected to cause or result in stabilization or manipulation of the price of the Shares or of any “reference security” (as defined in Rule 100 of Regulation M under the Exchange Act (</w:t>
      </w:r>
      <w:r>
        <w:rPr>
          <w:rFonts w:ascii="Arial" w:cs="Arial" w:eastAsia="Arial" w:hAnsi="Arial"/>
          <w:sz w:val="16"/>
          <w:szCs w:val="16"/>
          <w:b w:val="1"/>
          <w:bCs w:val="1"/>
          <w:color w:val="auto"/>
        </w:rPr>
        <w:t>“Regulation M”</w:t>
      </w:r>
      <w:r>
        <w:rPr>
          <w:rFonts w:ascii="Arial" w:cs="Arial" w:eastAsia="Arial" w:hAnsi="Arial"/>
          <w:sz w:val="16"/>
          <w:szCs w:val="16"/>
          <w:color w:val="auto"/>
        </w:rPr>
        <w:t>)) with respect to the Shares, whether to facilitate the sale or resale of the Offered Shares or otherwise, and has taken no action which will directly or indirectly violate Regulation M.</w:t>
      </w:r>
    </w:p>
    <w:p>
      <w:pPr>
        <w:spacing w:after="0" w:line="150" w:lineRule="exact"/>
        <w:rPr>
          <w:rFonts w:ascii="Arial" w:cs="Arial" w:eastAsia="Arial" w:hAnsi="Arial"/>
          <w:sz w:val="16"/>
          <w:szCs w:val="16"/>
          <w:b w:val="1"/>
          <w:bCs w:val="1"/>
          <w:color w:val="auto"/>
        </w:rPr>
      </w:pPr>
    </w:p>
    <w:p>
      <w:pPr>
        <w:ind w:left="-656" w:right="260" w:firstLine="656"/>
        <w:spacing w:after="0" w:line="266" w:lineRule="auto"/>
        <w:tabs>
          <w:tab w:leader="none" w:pos="807"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Related-Party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business relationships or related-party transactions involving the Company or any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or any other person required to be described in the Registration Statement, the Time of Sale Prospectus or the Prospectus that have not been described as required.</w:t>
      </w:r>
    </w:p>
    <w:p>
      <w:pPr>
        <w:spacing w:after="0" w:line="175" w:lineRule="exact"/>
        <w:rPr>
          <w:rFonts w:ascii="Arial" w:cs="Arial" w:eastAsia="Arial" w:hAnsi="Arial"/>
          <w:sz w:val="18"/>
          <w:szCs w:val="18"/>
          <w:b w:val="1"/>
          <w:bCs w:val="1"/>
          <w:color w:val="auto"/>
        </w:rPr>
      </w:pPr>
    </w:p>
    <w:p>
      <w:pPr>
        <w:ind w:left="-656" w:right="40" w:firstLine="656"/>
        <w:spacing w:after="0" w:line="303" w:lineRule="auto"/>
        <w:tabs>
          <w:tab w:leader="none" w:pos="886"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FINRA Matters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of the information provided to the Underwriters or to counsel for the Underwriters by the Company, its counsel,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officers and directors and, to the Company’s knowledge, the holders of any securities (debt or equity) or options to acquire any securities of the Company in connection with the offering of the Offered Shares is true, complete, correct and compliant in all material respects with FINRA’s rules and any letters, filings or other supplemental information provided to FINRA pursuant to FINRA Rules or NASD Conduct Rules is true, complete and correct.</w:t>
      </w:r>
    </w:p>
    <w:p>
      <w:pPr>
        <w:spacing w:after="0" w:line="150" w:lineRule="exact"/>
        <w:rPr>
          <w:rFonts w:ascii="Arial" w:cs="Arial" w:eastAsia="Arial" w:hAnsi="Arial"/>
          <w:sz w:val="16"/>
          <w:szCs w:val="16"/>
          <w:b w:val="1"/>
          <w:bCs w:val="1"/>
          <w:color w:val="auto"/>
        </w:rPr>
      </w:pPr>
    </w:p>
    <w:p>
      <w:pPr>
        <w:ind w:left="-656" w:firstLine="656"/>
        <w:spacing w:after="0" w:line="274" w:lineRule="auto"/>
        <w:tabs>
          <w:tab w:leader="none" w:pos="906"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Parties to Lock-Up Agreements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furnished to the Underwriters a letter agreement in the form attached hereto as</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Lock-up Agreement</w:t>
      </w:r>
      <w:r>
        <w:rPr>
          <w:rFonts w:ascii="Arial" w:cs="Arial" w:eastAsia="Arial" w:hAnsi="Arial"/>
          <w:sz w:val="17"/>
          <w:szCs w:val="17"/>
          <w:color w:val="auto"/>
        </w:rPr>
        <w:t>”) from each of its officers (as defined in Rule 16a-1(f) under the Exchange Act), directors and security holders. If any additional persons shall become directors or officers or security holders of the Company prior to the end of the Company Lock-up Period (as defined below), the Company shall cause each such person or entity, prior to or contemporaneously with their appointment or election as a director or officer of the Company or as a holder of the Company’s securities, other than security holders who only hold Offered Shares purchased in the offering of Offered Shares, to execute and deliver to the Representatives a Lock-up Agreement.</w:t>
      </w:r>
    </w:p>
    <w:p>
      <w:pPr>
        <w:spacing w:after="0" w:line="173" w:lineRule="exact"/>
        <w:rPr>
          <w:rFonts w:ascii="Arial" w:cs="Arial" w:eastAsia="Arial" w:hAnsi="Arial"/>
          <w:sz w:val="17"/>
          <w:szCs w:val="17"/>
          <w:b w:val="1"/>
          <w:bCs w:val="1"/>
          <w:color w:val="auto"/>
        </w:rPr>
      </w:pPr>
    </w:p>
    <w:p>
      <w:pPr>
        <w:ind w:left="-656" w:right="160" w:firstLine="656"/>
        <w:spacing w:after="0" w:line="314" w:lineRule="auto"/>
        <w:tabs>
          <w:tab w:leader="none" w:pos="807"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Statistical and Market-Related Data</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statistical, demographic and market-related data included in the Registration Statement,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of Sale Prospectus or the Prospectus are based on or derived from sources that the Company believes, after reasonable inquiry, to be reliable and accurate in all material respects. To the extent required, the Company has obtained the written consent to the use of such data from such sources.</w:t>
      </w:r>
    </w:p>
    <w:p>
      <w:pPr>
        <w:spacing w:after="0" w:line="141" w:lineRule="exact"/>
        <w:rPr>
          <w:rFonts w:ascii="Arial" w:cs="Arial" w:eastAsia="Arial" w:hAnsi="Arial"/>
          <w:sz w:val="16"/>
          <w:szCs w:val="16"/>
          <w:b w:val="1"/>
          <w:bCs w:val="1"/>
          <w:color w:val="auto"/>
        </w:rPr>
      </w:pPr>
    </w:p>
    <w:p>
      <w:pPr>
        <w:ind w:left="-656" w:right="20" w:firstLine="656"/>
        <w:spacing w:after="0" w:line="261" w:lineRule="auto"/>
        <w:tabs>
          <w:tab w:leader="none" w:pos="886"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Unlawful Contributions or Other Payments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any of its subsidiaries nor, to the Company’s knowledge,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employee or agent of the Company or any subsidiary, has made any contribution or other payment to any official of, or candidate for, any federal, state or foreign office in violation of any applicable law or of the character required to be disclosed in the Registration Statement, the Time of Sale Prospectus or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71" w:name="page72"/>
    <w:bookmarkEnd w:id="71"/>
    <w:p>
      <w:pPr>
        <w:ind w:left="-656" w:right="20" w:firstLine="656"/>
        <w:spacing w:after="0" w:line="269" w:lineRule="auto"/>
        <w:tabs>
          <w:tab w:leader="none" w:pos="726"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Foreign Corrupt Practices Act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 subsidiaries nor any director, officer, or employee 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candidate for political office, or “foreign official” (as defined in the U.S. Foreign Corrupt Practices Act of 1977, as amended, and the rules and regulations thereunder (collectively, the “</w:t>
      </w:r>
      <w:r>
        <w:rPr>
          <w:rFonts w:ascii="Arial" w:cs="Arial" w:eastAsia="Arial" w:hAnsi="Arial"/>
          <w:sz w:val="17"/>
          <w:szCs w:val="17"/>
          <w:b w:val="1"/>
          <w:bCs w:val="1"/>
          <w:color w:val="auto"/>
        </w:rPr>
        <w:t>FCPA”</w:t>
      </w:r>
      <w:r>
        <w:rPr>
          <w:rFonts w:ascii="Arial" w:cs="Arial" w:eastAsia="Arial" w:hAnsi="Arial"/>
          <w:sz w:val="17"/>
          <w:szCs w:val="17"/>
          <w:color w:val="auto"/>
        </w:rPr>
        <w:t>)), or employee from corporate funds; (iii) violated or is in violation of any provision of the FCPA or any applicable non-U.S. anti-bribery or anti-corruption statute or regulation;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78" w:lineRule="exact"/>
        <w:rPr>
          <w:rFonts w:ascii="Arial" w:cs="Arial" w:eastAsia="Arial" w:hAnsi="Arial"/>
          <w:sz w:val="17"/>
          <w:szCs w:val="17"/>
          <w:b w:val="1"/>
          <w:bCs w:val="1"/>
          <w:color w:val="auto"/>
        </w:rPr>
      </w:pPr>
    </w:p>
    <w:p>
      <w:pPr>
        <w:ind w:left="-656" w:right="20" w:firstLine="656"/>
        <w:spacing w:after="0" w:line="274" w:lineRule="auto"/>
        <w:tabs>
          <w:tab w:leader="none" w:pos="807"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Money Laundering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operations of the Company and its subsidiaries are, and have been conducted at all times, in compliance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3" w:lineRule="exact"/>
        <w:rPr>
          <w:rFonts w:ascii="Arial" w:cs="Arial" w:eastAsia="Arial" w:hAnsi="Arial"/>
          <w:sz w:val="17"/>
          <w:szCs w:val="17"/>
          <w:b w:val="1"/>
          <w:bCs w:val="1"/>
          <w:color w:val="auto"/>
        </w:rPr>
      </w:pPr>
    </w:p>
    <w:p>
      <w:pPr>
        <w:ind w:left="-656" w:firstLine="656"/>
        <w:spacing w:after="0" w:line="269" w:lineRule="auto"/>
        <w:tabs>
          <w:tab w:leader="none" w:pos="832"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Sanctions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 subsidiaries nor to the knowledge of the Company, after due inquiry, any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or employees, nor, any agent, controlled affiliate or other person acting on behalf of the Company or any of its subsidiaries is currently the subject or, to the Company’s knowledge, after due inquiry, the target of any U.S. sanctions administered by the Office of Foreign Assets Control of the U.S. Department of the Treasury (“</w:t>
      </w:r>
      <w:r>
        <w:rPr>
          <w:rFonts w:ascii="Arial" w:cs="Arial" w:eastAsia="Arial" w:hAnsi="Arial"/>
          <w:sz w:val="17"/>
          <w:szCs w:val="17"/>
          <w:b w:val="1"/>
          <w:bCs w:val="1"/>
          <w:color w:val="auto"/>
        </w:rPr>
        <w:t>OFAC</w:t>
      </w:r>
      <w:r>
        <w:rPr>
          <w:rFonts w:ascii="Arial" w:cs="Arial" w:eastAsia="Arial" w:hAnsi="Arial"/>
          <w:sz w:val="17"/>
          <w:szCs w:val="17"/>
          <w:color w:val="auto"/>
        </w:rPr>
        <w:t>”) or the U.S. Department of State, the United Nations Security Council, the European Union, Her Majesty’s Treasury of the United Kingdom,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nor is the Company or any of its subsidiaries located, organized or resident in a country or territory that is the subject or, to the Company’s knowledge, after due inquiry, the target of Sanctions, including, without limitation, Crimea, Cuba, Iran, North Korea, and Syria (each, a “</w:t>
      </w:r>
      <w:r>
        <w:rPr>
          <w:rFonts w:ascii="Arial" w:cs="Arial" w:eastAsia="Arial" w:hAnsi="Arial"/>
          <w:sz w:val="17"/>
          <w:szCs w:val="17"/>
          <w:b w:val="1"/>
          <w:bCs w:val="1"/>
          <w:color w:val="auto"/>
        </w:rPr>
        <w:t>Sanctioned Country</w:t>
      </w:r>
      <w:r>
        <w:rPr>
          <w:rFonts w:ascii="Arial" w:cs="Arial" w:eastAsia="Arial" w:hAnsi="Arial"/>
          <w:sz w:val="17"/>
          <w:szCs w:val="17"/>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75" w:lineRule="exact"/>
        <w:rPr>
          <w:rFonts w:ascii="Arial" w:cs="Arial" w:eastAsia="Arial" w:hAnsi="Arial"/>
          <w:sz w:val="17"/>
          <w:szCs w:val="17"/>
          <w:b w:val="1"/>
          <w:bCs w:val="1"/>
          <w:color w:val="auto"/>
        </w:rPr>
      </w:pPr>
    </w:p>
    <w:p>
      <w:pPr>
        <w:ind w:left="-656" w:right="180" w:firstLine="656"/>
        <w:spacing w:after="0" w:line="282" w:lineRule="auto"/>
        <w:tabs>
          <w:tab w:leader="none" w:pos="807"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Brokers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pursuant to this Agreement, there is no broker, finder or other party that is entitled to receive from the Company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brokerage or finder’s fee or other fee or commission as a result of any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405765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2" w:name="page73"/>
    <w:bookmarkEnd w:id="72"/>
    <w:p>
      <w:pPr>
        <w:ind w:left="-8" w:right="260" w:firstLine="656"/>
        <w:spacing w:after="0" w:line="291" w:lineRule="auto"/>
        <w:tabs>
          <w:tab w:leader="none" w:pos="1455" w:val="left"/>
        </w:tabs>
        <w:numPr>
          <w:ilvl w:val="1"/>
          <w:numId w:val="6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Forward-Looking Statements. </w:t>
      </w:r>
      <w:r>
        <w:rPr>
          <w:rFonts w:ascii="Arial" w:cs="Arial" w:eastAsia="Arial" w:hAnsi="Arial"/>
          <w:sz w:val="16"/>
          <w:szCs w:val="16"/>
          <w:color w:val="auto"/>
        </w:rPr>
        <w:t>Each financial or operational projection or other “forward-looking statement” (as defined by Section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27A of the Securities Act or Section 21E of the Exchange Act) contained in the Registration Statement, the Time of Sale Prospectus or the Prospectus</w:t>
      </w:r>
    </w:p>
    <w:p>
      <w:pPr>
        <w:ind w:left="-8" w:right="320" w:firstLine="8"/>
        <w:spacing w:after="0" w:line="253" w:lineRule="auto"/>
        <w:tabs>
          <w:tab w:leader="none" w:pos="207" w:val="left"/>
        </w:tabs>
        <w:numPr>
          <w:ilvl w:val="0"/>
          <w:numId w:val="63"/>
        </w:numPr>
        <w:rPr>
          <w:rFonts w:ascii="Arial" w:cs="Arial" w:eastAsia="Arial" w:hAnsi="Arial"/>
          <w:sz w:val="18"/>
          <w:szCs w:val="18"/>
          <w:color w:val="auto"/>
        </w:rPr>
      </w:pPr>
      <w:r>
        <w:rPr>
          <w:rFonts w:ascii="Arial" w:cs="Arial" w:eastAsia="Arial" w:hAnsi="Arial"/>
          <w:sz w:val="18"/>
          <w:szCs w:val="18"/>
          <w:color w:val="auto"/>
        </w:rPr>
        <w:t>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192" w:lineRule="exact"/>
        <w:rPr>
          <w:rFonts w:ascii="Arial" w:cs="Arial" w:eastAsia="Arial" w:hAnsi="Arial"/>
          <w:sz w:val="18"/>
          <w:szCs w:val="18"/>
          <w:color w:val="auto"/>
        </w:rPr>
      </w:pPr>
    </w:p>
    <w:p>
      <w:pPr>
        <w:ind w:left="-8" w:right="180" w:firstLine="656"/>
        <w:spacing w:after="0" w:line="263" w:lineRule="auto"/>
        <w:tabs>
          <w:tab w:leader="none" w:pos="1504"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Outstanding Loans or Other Extensions of Credit</w:t>
      </w:r>
      <w:r>
        <w:rPr>
          <w:rFonts w:ascii="Arial" w:cs="Arial" w:eastAsia="Arial" w:hAnsi="Arial"/>
          <w:sz w:val="18"/>
          <w:szCs w:val="18"/>
          <w:color w:val="auto"/>
        </w:rPr>
        <w:t>. The Company does not have any outstanding extension of credit, in the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personal loan, to or for any director or executive officer (or equivalent thereof) of the Company except for such extensions of credit as are expressly permitted by Section 13(k) of the Exchange Act.</w:t>
      </w:r>
    </w:p>
    <w:p>
      <w:pPr>
        <w:spacing w:after="0" w:line="183" w:lineRule="exact"/>
        <w:rPr>
          <w:rFonts w:ascii="Arial" w:cs="Arial" w:eastAsia="Arial" w:hAnsi="Arial"/>
          <w:sz w:val="18"/>
          <w:szCs w:val="18"/>
          <w:b w:val="1"/>
          <w:bCs w:val="1"/>
          <w:color w:val="auto"/>
        </w:rPr>
      </w:pPr>
    </w:p>
    <w:p>
      <w:pPr>
        <w:ind w:left="-8" w:firstLine="656"/>
        <w:spacing w:after="0" w:line="285" w:lineRule="auto"/>
        <w:tabs>
          <w:tab w:leader="none" w:pos="1530" w:val="left"/>
        </w:tabs>
        <w:numPr>
          <w:ilvl w:val="1"/>
          <w:numId w:val="6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Cybersecurity</w:t>
      </w:r>
      <w:r>
        <w:rPr>
          <w:rFonts w:ascii="Arial" w:cs="Arial" w:eastAsia="Arial" w:hAnsi="Arial"/>
          <w:sz w:val="16"/>
          <w:szCs w:val="16"/>
          <w:color w:val="auto"/>
        </w:rPr>
        <w:t>. The Company and its subsidiaries’ information technology assets and equipment, computers, systems, networks,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hardware, software, websites, 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as required in connection with the operation of the business of the Company and its subsidiaries as currently conducted, free and clear of all material bugs, errors, defects, Trojan horses, time bombs, malware and other corruptants, except as would not reasonably be expected to result in a Material Adverse Change.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except where the failure to so implement and maintain would not reasonably be expected to result in a Material Adverse Change. “</w:t>
      </w:r>
      <w:r>
        <w:rPr>
          <w:rFonts w:ascii="Arial" w:cs="Arial" w:eastAsia="Arial" w:hAnsi="Arial"/>
          <w:sz w:val="16"/>
          <w:szCs w:val="16"/>
          <w:b w:val="1"/>
          <w:bCs w:val="1"/>
          <w:color w:val="auto"/>
        </w:rPr>
        <w:t>Personal Data</w:t>
      </w:r>
      <w:r>
        <w:rPr>
          <w:rFonts w:ascii="Arial" w:cs="Arial" w:eastAsia="Arial" w:hAnsi="Arial"/>
          <w:sz w:val="16"/>
          <w:szCs w:val="16"/>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(the “</w:t>
      </w:r>
      <w:r>
        <w:rPr>
          <w:rFonts w:ascii="Arial" w:cs="Arial" w:eastAsia="Arial" w:hAnsi="Arial"/>
          <w:sz w:val="16"/>
          <w:szCs w:val="16"/>
          <w:b w:val="1"/>
          <w:bCs w:val="1"/>
          <w:color w:val="auto"/>
        </w:rPr>
        <w:t>GDPR</w:t>
      </w:r>
      <w:r>
        <w:rPr>
          <w:rFonts w:ascii="Arial" w:cs="Arial" w:eastAsia="Arial" w:hAnsi="Arial"/>
          <w:sz w:val="16"/>
          <w:szCs w:val="16"/>
          <w:color w:val="auto"/>
        </w:rPr>
        <w:t>”); (iv) 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6"/>
          <w:szCs w:val="16"/>
          <w:b w:val="1"/>
          <w:bCs w:val="1"/>
          <w:color w:val="auto"/>
        </w:rPr>
        <w:t>HIPAA”</w:t>
      </w:r>
      <w:r>
        <w:rPr>
          <w:rFonts w:ascii="Arial" w:cs="Arial" w:eastAsia="Arial" w:hAnsi="Arial"/>
          <w:sz w:val="16"/>
          <w:szCs w:val="16"/>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as would not reasonably be expected to result in a Material Adverse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544830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73" w:name="page74"/>
    <w:bookmarkEnd w:id="73"/>
    <w:p>
      <w:pPr>
        <w:ind w:left="-656" w:firstLine="656"/>
        <w:spacing w:after="0" w:line="286" w:lineRule="auto"/>
        <w:tabs>
          <w:tab w:leader="none" w:pos="906"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Data Privacy Laws</w:t>
      </w:r>
      <w:r>
        <w:rPr>
          <w:rFonts w:ascii="Arial" w:cs="Arial" w:eastAsia="Arial" w:hAnsi="Arial"/>
          <w:sz w:val="16"/>
          <w:szCs w:val="16"/>
          <w:color w:val="auto"/>
        </w:rPr>
        <w:t>. The Company’s and its subsidiaries’ business practice have been structured in a manner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reasonably designed to comply with all applicable state and federal data privacy and security laws and regulations, including without limitation HIPAA, except where the failure to do so would not reasonably be expected to result in a Material Adverse Change, and the Company and its subsidiaries have taken commercially reasonable actions to prepare to comply with, and since May 25, 2018, have been and currently are in compliance with, the GDPR (EU 2016/679) (collectively, the “</w:t>
      </w:r>
      <w:r>
        <w:rPr>
          <w:rFonts w:ascii="Arial" w:cs="Arial" w:eastAsia="Arial" w:hAnsi="Arial"/>
          <w:sz w:val="16"/>
          <w:szCs w:val="16"/>
          <w:b w:val="1"/>
          <w:bCs w:val="1"/>
          <w:color w:val="auto"/>
        </w:rPr>
        <w:t>Privacy Laws</w:t>
      </w:r>
      <w:r>
        <w:rPr>
          <w:rFonts w:ascii="Arial" w:cs="Arial" w:eastAsia="Arial" w:hAnsi="Arial"/>
          <w:sz w:val="16"/>
          <w:szCs w:val="16"/>
          <w:color w:val="auto"/>
        </w:rPr>
        <w:t>”), except where the failure to do so would not reasonably be expected to result in a Material Adverse Change.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Arial" w:cs="Arial" w:eastAsia="Arial" w:hAnsi="Arial"/>
          <w:sz w:val="16"/>
          <w:szCs w:val="16"/>
          <w:b w:val="1"/>
          <w:bCs w:val="1"/>
          <w:color w:val="auto"/>
        </w:rPr>
        <w:t>Policies</w:t>
      </w:r>
      <w:r>
        <w:rPr>
          <w:rFonts w:ascii="Arial" w:cs="Arial" w:eastAsia="Arial" w:hAnsi="Arial"/>
          <w:sz w:val="16"/>
          <w:szCs w:val="16"/>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except where the failure to do so would not reasonably be expected to result in a Material Adverse Change. The Company further certifies that neither it nor any subsidiary: (i) has received notice asserting a violation by the Company or any of its subsidiaries of any of the Privacy Laws; (ii) is currently conducting or paying for, in whole or in part, any investigation, remediation, or other corrective action pursuant to any Privacy Law; or (iii) is a party to any material order, decree, or agreement that imposes any obligation or liability under any Privacy Law.</w:t>
      </w:r>
    </w:p>
    <w:p>
      <w:pPr>
        <w:spacing w:after="0" w:line="170" w:lineRule="exact"/>
        <w:rPr>
          <w:rFonts w:ascii="Arial" w:cs="Arial" w:eastAsia="Arial" w:hAnsi="Arial"/>
          <w:sz w:val="16"/>
          <w:szCs w:val="16"/>
          <w:b w:val="1"/>
          <w:bCs w:val="1"/>
          <w:color w:val="auto"/>
        </w:rPr>
      </w:pPr>
    </w:p>
    <w:p>
      <w:pPr>
        <w:jc w:val="both"/>
        <w:ind w:left="-656" w:right="40" w:firstLine="656"/>
        <w:spacing w:after="0" w:line="259" w:lineRule="auto"/>
        <w:tabs>
          <w:tab w:leader="none" w:pos="807"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Emerging Growth Company Status</w:t>
      </w:r>
      <w:r>
        <w:rPr>
          <w:rFonts w:ascii="Arial" w:cs="Arial" w:eastAsia="Arial" w:hAnsi="Arial"/>
          <w:sz w:val="18"/>
          <w:szCs w:val="18"/>
          <w:color w:val="auto"/>
        </w:rPr>
        <w:t>. From the time of initial confidential submission of the Registration Statement to the Commission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if 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86" w:lineRule="exact"/>
        <w:rPr>
          <w:rFonts w:ascii="Arial" w:cs="Arial" w:eastAsia="Arial" w:hAnsi="Arial"/>
          <w:sz w:val="18"/>
          <w:szCs w:val="18"/>
          <w:b w:val="1"/>
          <w:bCs w:val="1"/>
          <w:color w:val="auto"/>
        </w:rPr>
      </w:pPr>
    </w:p>
    <w:p>
      <w:pPr>
        <w:ind w:left="-656" w:firstLine="656"/>
        <w:spacing w:after="0" w:line="269" w:lineRule="auto"/>
        <w:tabs>
          <w:tab w:leader="none" w:pos="832"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Communications</w:t>
      </w:r>
      <w:r>
        <w:rPr>
          <w:rFonts w:ascii="Arial" w:cs="Arial" w:eastAsia="Arial" w:hAnsi="Arial"/>
          <w:sz w:val="17"/>
          <w:szCs w:val="17"/>
          <w:color w:val="auto"/>
        </w:rPr>
        <w:t>. The Company (i) has not alone engaged in communications with potential investors in reliance on Section 5(d)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Securities Act other than Permitted Section 5(d) Communications or Section 5(d) Oral Communications, in each case, with the prior consent of the Representatives with entities that are QIBs or IAIs and (ii) has not authorized anyone other than the Representatives to engage in such communications; the Company reconfirms that the Representatives have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(except where such Permitted Section 5(d) Communication has been superseded by the information contained in the Registration Statement, the Preliminary Prospectus and the Prospectus); and the Company has filed publicly on EDGAR at least 15 calendar days prior to any “road show” (as defined in Rule 433 under the Securities Act), any confidentially submitted registration statement and registration statement amendments relating to the offer and sale of the Offered Shares.</w:t>
      </w:r>
    </w:p>
    <w:p>
      <w:pPr>
        <w:spacing w:after="0" w:line="178" w:lineRule="exact"/>
        <w:rPr>
          <w:rFonts w:ascii="Arial" w:cs="Arial" w:eastAsia="Arial" w:hAnsi="Arial"/>
          <w:sz w:val="17"/>
          <w:szCs w:val="17"/>
          <w:b w:val="1"/>
          <w:bCs w:val="1"/>
          <w:color w:val="auto"/>
        </w:rPr>
      </w:pPr>
    </w:p>
    <w:p>
      <w:pPr>
        <w:ind w:left="-656" w:right="20" w:firstLine="656"/>
        <w:spacing w:after="0" w:line="259" w:lineRule="auto"/>
        <w:tabs>
          <w:tab w:leader="none" w:pos="776"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Rights to Purchase Preferred Stock. </w:t>
      </w:r>
      <w:r>
        <w:rPr>
          <w:rFonts w:ascii="Arial" w:cs="Arial" w:eastAsia="Arial" w:hAnsi="Arial"/>
          <w:sz w:val="18"/>
          <w:szCs w:val="18"/>
          <w:color w:val="auto"/>
        </w:rPr>
        <w:t>The issuance and sale of the Shares as contemplated hereby will not cause any holder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capital stock, securities convertible into or exchangeable or exercisable for capital stock or options, warrants or other rights to purchase capital stock or any other securities of the Company to have any right to acquire any shares of preferred stock of the Company, except for such rights as have been duly waived.</w:t>
      </w:r>
    </w:p>
    <w:p>
      <w:pPr>
        <w:spacing w:after="0" w:line="186" w:lineRule="exact"/>
        <w:rPr>
          <w:rFonts w:ascii="Arial" w:cs="Arial" w:eastAsia="Arial" w:hAnsi="Arial"/>
          <w:sz w:val="18"/>
          <w:szCs w:val="18"/>
          <w:b w:val="1"/>
          <w:bCs w:val="1"/>
          <w:color w:val="auto"/>
        </w:rPr>
      </w:pPr>
    </w:p>
    <w:p>
      <w:pPr>
        <w:ind w:left="-656" w:right="100" w:firstLine="656"/>
        <w:spacing w:after="0" w:line="257" w:lineRule="auto"/>
        <w:tabs>
          <w:tab w:leader="none" w:pos="83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Contract Terminations. </w:t>
      </w:r>
      <w:r>
        <w:rPr>
          <w:rFonts w:ascii="Arial" w:cs="Arial" w:eastAsia="Arial" w:hAnsi="Arial"/>
          <w:sz w:val="18"/>
          <w:szCs w:val="18"/>
          <w:color w:val="auto"/>
        </w:rPr>
        <w:t>Neither the Company nor any of its subsidiaries has sent or received any communication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of, or intent not to renew, any of the contracts or agreements referred to or described in any preliminary prospectus, the Prospectus or any free writing prospectus, or referred to or described in,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419735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908" w:right="379" w:bottom="1440" w:gutter="0" w:footer="0" w:header="0"/>
        </w:sectPr>
      </w:pPr>
    </w:p>
    <w:bookmarkStart w:id="74" w:name="page75"/>
    <w:bookmarkEnd w:id="74"/>
    <w:p>
      <w:pPr>
        <w:ind w:right="300" w:firstLine="656"/>
        <w:spacing w:after="0" w:line="277" w:lineRule="auto"/>
        <w:tabs>
          <w:tab w:leader="none" w:pos="1488"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Indebtedness. </w:t>
      </w:r>
      <w:r>
        <w:rPr>
          <w:rFonts w:ascii="Arial" w:cs="Arial" w:eastAsia="Arial" w:hAnsi="Arial"/>
          <w:sz w:val="18"/>
          <w:szCs w:val="18"/>
          <w:color w:val="auto"/>
        </w:rPr>
        <w:t>Except as otherwise disclosed in the Registration Statement, the Time of Sale Prospectus and the Prospectus,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has no outstanding indebtedness for borrowed money.</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Any certificate signed by any officer of the Company or any of its subsidiaries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spacing w:after="0" w:line="184"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161" w:lineRule="exact"/>
        <w:rPr>
          <w:sz w:val="20"/>
          <w:szCs w:val="20"/>
          <w:color w:val="auto"/>
        </w:rPr>
      </w:pPr>
    </w:p>
    <w:p>
      <w:pPr>
        <w:ind w:left="1440"/>
        <w:spacing w:after="0"/>
        <w:tabs>
          <w:tab w:leader="none" w:pos="29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Purchase, Sale and Delivery of the Offered Shares</w:t>
      </w:r>
      <w:r>
        <w:rPr>
          <w:rFonts w:ascii="Arial" w:cs="Arial" w:eastAsia="Arial" w:hAnsi="Arial"/>
          <w:sz w:val="16"/>
          <w:szCs w:val="16"/>
          <w:color w:val="auto"/>
        </w:rPr>
        <w:t>.</w:t>
      </w:r>
    </w:p>
    <w:p>
      <w:pPr>
        <w:spacing w:after="0" w:line="225" w:lineRule="exact"/>
        <w:rPr>
          <w:sz w:val="20"/>
          <w:szCs w:val="20"/>
          <w:color w:val="auto"/>
        </w:rPr>
      </w:pPr>
    </w:p>
    <w:p>
      <w:pPr>
        <w:jc w:val="both"/>
        <w:ind w:right="140" w:firstLine="656"/>
        <w:spacing w:after="0" w:line="303" w:lineRule="auto"/>
        <w:tabs>
          <w:tab w:leader="none" w:pos="1577"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Firm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terms herein set forth, the Company agrees to issue and sell to the several Underwriters an aggregate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 ˜ ] Firm 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The purchase price per Firm Share to be paid by the several Underwriters to the Company shall be $[ ˜ ] per share.</w:t>
      </w:r>
    </w:p>
    <w:p>
      <w:pPr>
        <w:spacing w:after="0" w:line="150" w:lineRule="exact"/>
        <w:rPr>
          <w:rFonts w:ascii="Arial" w:cs="Arial" w:eastAsia="Arial" w:hAnsi="Arial"/>
          <w:sz w:val="16"/>
          <w:szCs w:val="16"/>
          <w:b w:val="1"/>
          <w:bCs w:val="1"/>
          <w:color w:val="auto"/>
        </w:rPr>
      </w:pPr>
    </w:p>
    <w:p>
      <w:pPr>
        <w:ind w:left="1560" w:hanging="904"/>
        <w:spacing w:after="0"/>
        <w:tabs>
          <w:tab w:leader="none" w:pos="156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First Closing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Delivery of the Firm Shares to be purchased by the Underwriters and payment therefor shall be made at the</w:t>
      </w:r>
    </w:p>
    <w:p>
      <w:pPr>
        <w:spacing w:after="0" w:line="50"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offices of Latham &amp; Watkins LLP, 885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Avenue, New York, New York, 10022 (or such other place as may be agreed to by the Company and the Representatives) at [ ˜ ] [p.][a.]m. New York City time, on [ ˜ ], 2020</w:t>
      </w:r>
      <w:r>
        <w:rPr>
          <w:rFonts w:ascii="Arial" w:cs="Arial" w:eastAsia="Arial" w:hAnsi="Arial"/>
          <w:sz w:val="17"/>
          <w:szCs w:val="17"/>
          <w:b w:val="1"/>
          <w:bCs w:val="1"/>
          <w:color w:val="auto"/>
        </w:rPr>
        <w:t>,</w:t>
      </w:r>
      <w:r>
        <w:rPr>
          <w:rFonts w:ascii="Arial" w:cs="Arial" w:eastAsia="Arial" w:hAnsi="Arial"/>
          <w:sz w:val="17"/>
          <w:szCs w:val="17"/>
          <w:color w:val="auto"/>
        </w:rPr>
        <w:t xml:space="preserve"> or such other time and date not later than [ ˜ ] [a.][p.]m. New York City time, on [ ˜ ], 2020 as the Representatives shall designate by notice to the Company (the time and date of such closing are called the “</w:t>
      </w:r>
      <w:r>
        <w:rPr>
          <w:rFonts w:ascii="Arial" w:cs="Arial" w:eastAsia="Arial" w:hAnsi="Arial"/>
          <w:sz w:val="17"/>
          <w:szCs w:val="17"/>
          <w:b w:val="1"/>
          <w:bCs w:val="1"/>
          <w:color w:val="auto"/>
        </w:rPr>
        <w:t>First Closing Date</w:t>
      </w:r>
      <w:r>
        <w:rPr>
          <w:rFonts w:ascii="Arial" w:cs="Arial" w:eastAsia="Arial" w:hAnsi="Arial"/>
          <w:sz w:val="17"/>
          <w:szCs w:val="17"/>
          <w:color w:val="auto"/>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spacing w:after="0" w:line="191" w:lineRule="exact"/>
        <w:rPr>
          <w:sz w:val="20"/>
          <w:szCs w:val="20"/>
          <w:color w:val="auto"/>
        </w:rPr>
      </w:pPr>
    </w:p>
    <w:p>
      <w:pPr>
        <w:ind w:firstLine="656"/>
        <w:spacing w:after="0" w:line="284" w:lineRule="auto"/>
        <w:tabs>
          <w:tab w:leader="none" w:pos="1567" w:val="left"/>
        </w:tabs>
        <w:numPr>
          <w:ilvl w:val="1"/>
          <w:numId w:val="6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Optional Shares; Option Closing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on the basis of the representations, warranties and agreements herein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contained, and upon the terms but subject to the conditions herein set forth, the Company hereby grants an option to the several Underwriters to purchase, severally and not jointly, up to an aggregate of [ ˜ ] Optional Shares from the Company at the purchase price per share to be paid by the Underwriters for the Firm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the Optional Shares will be delivered (which time and date may be simultaneous with, but not earlier than, the First Closing Date; and in the event that such time and date are simultaneous with the First Closing Date, the term “</w:t>
      </w:r>
      <w:r>
        <w:rPr>
          <w:rFonts w:ascii="Arial" w:cs="Arial" w:eastAsia="Arial" w:hAnsi="Arial"/>
          <w:sz w:val="16"/>
          <w:szCs w:val="16"/>
          <w:b w:val="1"/>
          <w:bCs w:val="1"/>
          <w:color w:val="auto"/>
        </w:rPr>
        <w:t>First Closing Date</w:t>
      </w:r>
      <w:r>
        <w:rPr>
          <w:rFonts w:ascii="Arial" w:cs="Arial" w:eastAsia="Arial" w:hAnsi="Arial"/>
          <w:sz w:val="16"/>
          <w:szCs w:val="16"/>
          <w:color w:val="auto"/>
        </w:rPr>
        <w:t>” shall refer to the time and date of delivery of the Firm Shares and such Optional Shares). Any such time and date of delivery, if subsequent to the First Closing Date, is called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and shall be determined by the Representatives and shall not be earlier than two or later than five full business days after delivery of such notice of exercise. If any Optional Shares are to be purchased,</w:t>
      </w:r>
    </w:p>
    <w:p>
      <w:pPr>
        <w:spacing w:after="0" w:line="1" w:lineRule="exact"/>
        <w:rPr>
          <w:rFonts w:ascii="Arial" w:cs="Arial" w:eastAsia="Arial" w:hAnsi="Arial"/>
          <w:sz w:val="16"/>
          <w:szCs w:val="16"/>
          <w:b w:val="1"/>
          <w:bCs w:val="1"/>
          <w:color w:val="auto"/>
        </w:rPr>
      </w:pPr>
    </w:p>
    <w:p>
      <w:pPr>
        <w:ind w:right="20" w:firstLine="8"/>
        <w:spacing w:after="0" w:line="290" w:lineRule="auto"/>
        <w:tabs>
          <w:tab w:leader="none" w:pos="245"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opposite the name of such Underwriter bears to the total number of Firm Shares and (b) the Company agrees to sell the number of Optional Shares which the Underwriters have agreed to purchase, up to the number of Optional Shares set forth in the “Introductory” paragraph of this Agreement (subject to such adjustments to eliminate fractional shares as the Representatives may determine). The Representatives may cancel the option at any time prior to its expiration by giving written notice of such cancellation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5" w:name="page76"/>
    <w:bookmarkEnd w:id="75"/>
    <w:p>
      <w:pPr>
        <w:ind w:left="-656" w:right="20" w:firstLine="656"/>
        <w:spacing w:after="0" w:line="261" w:lineRule="auto"/>
        <w:tabs>
          <w:tab w:leader="none" w:pos="887"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Offering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Representatives hereby advise the Company that the Underwriters intend to offer for 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public, initially on the terms set forth in the Registration Statement, the Time of Sale Prospectus and the Prospectus, their respective portions of the Offered Shares as soon after this Agreement has been executed and the Registration Statement has been declared effective as the Representatives, in their sole judgment, have determined is advisable and practicable.</w:t>
      </w:r>
    </w:p>
    <w:p>
      <w:pPr>
        <w:spacing w:after="0" w:line="179" w:lineRule="exact"/>
        <w:rPr>
          <w:rFonts w:ascii="Arial" w:cs="Arial" w:eastAsia="Arial" w:hAnsi="Arial"/>
          <w:sz w:val="18"/>
          <w:szCs w:val="18"/>
          <w:b w:val="1"/>
          <w:bCs w:val="1"/>
          <w:color w:val="auto"/>
        </w:rPr>
      </w:pPr>
    </w:p>
    <w:p>
      <w:pPr>
        <w:ind w:left="-656" w:firstLine="656"/>
        <w:spacing w:after="0" w:line="266" w:lineRule="auto"/>
        <w:tabs>
          <w:tab w:leader="none" w:pos="911"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 for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 Payment for the Firm Shares shall be made at the First Closing Date (and, if applicable,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Optional Shares shall be made at the First Closing Date or at the applicable Option Closing Date, as the case may be) by wire transfer of immediately available funds to the order of the Company.</w:t>
      </w:r>
    </w:p>
    <w:p>
      <w:pPr>
        <w:spacing w:after="0" w:line="179" w:lineRule="exact"/>
        <w:rPr>
          <w:rFonts w:ascii="Arial" w:cs="Arial" w:eastAsia="Arial" w:hAnsi="Arial"/>
          <w:sz w:val="18"/>
          <w:szCs w:val="18"/>
          <w:b w:val="1"/>
          <w:bCs w:val="1"/>
          <w:color w:val="auto"/>
        </w:rPr>
      </w:pPr>
    </w:p>
    <w:p>
      <w:pPr>
        <w:ind w:left="-656" w:right="40" w:firstLine="1434"/>
        <w:spacing w:after="0" w:line="273" w:lineRule="auto"/>
        <w:tabs>
          <w:tab w:leader="none" w:pos="1664" w:val="left"/>
        </w:tabs>
        <w:numPr>
          <w:ilvl w:val="1"/>
          <w:numId w:val="69"/>
        </w:numPr>
        <w:rPr>
          <w:rFonts w:ascii="Arial" w:cs="Arial" w:eastAsia="Arial" w:hAnsi="Arial"/>
          <w:sz w:val="17"/>
          <w:szCs w:val="17"/>
          <w:color w:val="auto"/>
        </w:rPr>
      </w:pPr>
      <w:r>
        <w:rPr>
          <w:rFonts w:ascii="Arial" w:cs="Arial" w:eastAsia="Arial" w:hAnsi="Arial"/>
          <w:sz w:val="17"/>
          <w:szCs w:val="17"/>
          <w:color w:val="auto"/>
        </w:rPr>
        <w:t>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Jefferies and Piper Sandler,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173" w:lineRule="exact"/>
        <w:rPr>
          <w:rFonts w:ascii="Arial" w:cs="Arial" w:eastAsia="Arial" w:hAnsi="Arial"/>
          <w:sz w:val="17"/>
          <w:szCs w:val="17"/>
          <w:color w:val="auto"/>
        </w:rPr>
      </w:pPr>
    </w:p>
    <w:p>
      <w:pPr>
        <w:ind w:left="-656" w:right="60" w:firstLine="656"/>
        <w:spacing w:after="0" w:line="269" w:lineRule="auto"/>
        <w:tabs>
          <w:tab w:leader="none" w:pos="936"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Delivery of the Offered Shares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deliver or cause to be delivered to the Representatives for the accounts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Underwriters the Firm Shares at the First Closing Date, against release of a wire transfer of immediately available funds for the amount of the purchase price therefor. The Company shall also deliver or cause to be delivered to the Representatives for the accounts of the several Underwriters the Optional Shares the Underwriters have agreed to purchase at the First Closing Date or the applicable Option Closing Date, as the case may be, against the release of a wire transfer of immediately available funds for the amount of the purchase price therefor. If Jefferies so elects, delivery of the Offered Shares may be made by credit to the accounts designated by Jefferies through The Depository Trust Company’s full fast transfer or Deposit/Withdrawal At Custodian (“</w:t>
      </w:r>
      <w:r>
        <w:rPr>
          <w:rFonts w:ascii="Arial" w:cs="Arial" w:eastAsia="Arial" w:hAnsi="Arial"/>
          <w:sz w:val="17"/>
          <w:szCs w:val="17"/>
          <w:b w:val="1"/>
          <w:bCs w:val="1"/>
          <w:color w:val="auto"/>
        </w:rPr>
        <w:t>DWAC</w:t>
      </w:r>
      <w:r>
        <w:rPr>
          <w:rFonts w:ascii="Arial" w:cs="Arial" w:eastAsia="Arial" w:hAnsi="Arial"/>
          <w:sz w:val="17"/>
          <w:szCs w:val="17"/>
          <w:color w:val="auto"/>
        </w:rPr>
        <w:t>”) programs. If Jefferies so elects, the Offered Shares shall be registered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Time shall be of the essence, and delivery at the time and place specified in this Agreement is a further condition to the obligations of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418465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4"/>
          </w:cols>
          <w:pgMar w:left="976" w:top="904" w:right="379" w:bottom="1440" w:gutter="0" w:footer="0" w:header="0"/>
        </w:sectPr>
      </w:pPr>
    </w:p>
    <w:bookmarkStart w:id="76" w:name="page77"/>
    <w:bookmarkEnd w:id="76"/>
    <w:p>
      <w:pPr>
        <w:ind w:left="784"/>
        <w:spacing w:after="0"/>
        <w:tabs>
          <w:tab w:leader="none" w:pos="2304"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Additional Covenants of the Company.</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further covenants and agrees with each Underwriter as follows:</w:t>
      </w:r>
    </w:p>
    <w:p>
      <w:pPr>
        <w:spacing w:after="0" w:line="225" w:lineRule="exact"/>
        <w:rPr>
          <w:sz w:val="20"/>
          <w:szCs w:val="20"/>
          <w:color w:val="auto"/>
        </w:rPr>
      </w:pPr>
    </w:p>
    <w:p>
      <w:pPr>
        <w:ind w:left="-656" w:right="60" w:firstLine="656"/>
        <w:spacing w:after="0" w:line="275" w:lineRule="auto"/>
        <w:tabs>
          <w:tab w:leader="none" w:pos="921"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Delivery of Registration Statement, Time of Sale Prospectus and Prospectus. </w:t>
      </w:r>
      <w:r>
        <w:rPr>
          <w:rFonts w:ascii="Arial" w:cs="Arial" w:eastAsia="Arial" w:hAnsi="Arial"/>
          <w:sz w:val="17"/>
          <w:szCs w:val="17"/>
          <w:color w:val="auto"/>
        </w:rPr>
        <w:t>The Company shall furnish to you in New York City,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without charge, prior to [ ˜ ] [a.][p.]m. New York City time on the second business day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spacing w:after="0" w:line="176" w:lineRule="exact"/>
        <w:rPr>
          <w:rFonts w:ascii="Arial" w:cs="Arial" w:eastAsia="Arial" w:hAnsi="Arial"/>
          <w:sz w:val="17"/>
          <w:szCs w:val="17"/>
          <w:b w:val="1"/>
          <w:bCs w:val="1"/>
          <w:color w:val="auto"/>
        </w:rPr>
      </w:pPr>
    </w:p>
    <w:p>
      <w:pPr>
        <w:ind w:left="-656" w:right="200" w:firstLine="656"/>
        <w:spacing w:after="0" w:line="288" w:lineRule="auto"/>
        <w:tabs>
          <w:tab w:leader="none" w:pos="887"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Representatives’ Review of Proposed Amendments and Supplements. </w:t>
      </w:r>
      <w:r>
        <w:rPr>
          <w:rFonts w:ascii="Arial" w:cs="Arial" w:eastAsia="Arial" w:hAnsi="Arial"/>
          <w:sz w:val="16"/>
          <w:szCs w:val="16"/>
          <w:color w:val="auto"/>
        </w:rPr>
        <w:t>During the period when a prospectus relating to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which will not be unreasonably withheld, conditioned or delayed.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will not be unreasonably withheld, conditioned or delayed. The Company shall file with the Commission within the applicable period specified in Rule 424(b) under the Securities Act any prospectus required to be filed pursuant to such Rule.</w:t>
      </w:r>
    </w:p>
    <w:p>
      <w:pPr>
        <w:spacing w:after="0" w:line="168" w:lineRule="exact"/>
        <w:rPr>
          <w:rFonts w:ascii="Arial" w:cs="Arial" w:eastAsia="Arial" w:hAnsi="Arial"/>
          <w:sz w:val="16"/>
          <w:szCs w:val="16"/>
          <w:b w:val="1"/>
          <w:bCs w:val="1"/>
          <w:color w:val="auto"/>
        </w:rPr>
      </w:pPr>
    </w:p>
    <w:p>
      <w:pPr>
        <w:ind w:left="-656" w:firstLine="656"/>
        <w:spacing w:after="0" w:line="285" w:lineRule="auto"/>
        <w:tabs>
          <w:tab w:leader="none" w:pos="911"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Free Writing Prospectuses. </w:t>
      </w:r>
      <w:r>
        <w:rPr>
          <w:rFonts w:ascii="Arial" w:cs="Arial" w:eastAsia="Arial" w:hAnsi="Arial"/>
          <w:sz w:val="16"/>
          <w:szCs w:val="16"/>
          <w:color w:val="auto"/>
        </w:rPr>
        <w:t>The Company shall furnish to the Representatives for review, a reasonable amount of time prior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will not be unreasonably withheld, conditioned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will not be unreasonably withheld, conditioned or delayed.</w:t>
      </w:r>
    </w:p>
    <w:p>
      <w:pPr>
        <w:spacing w:after="0" w:line="173" w:lineRule="exact"/>
        <w:rPr>
          <w:rFonts w:ascii="Arial" w:cs="Arial" w:eastAsia="Arial" w:hAnsi="Arial"/>
          <w:sz w:val="16"/>
          <w:szCs w:val="16"/>
          <w:b w:val="1"/>
          <w:bCs w:val="1"/>
          <w:color w:val="auto"/>
        </w:rPr>
      </w:pPr>
    </w:p>
    <w:p>
      <w:pPr>
        <w:ind w:left="-656" w:right="20" w:firstLine="656"/>
        <w:spacing w:after="0" w:line="263" w:lineRule="auto"/>
        <w:tabs>
          <w:tab w:leader="none" w:pos="887"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Filing of Underwriter Free Writing Prospectuses. </w:t>
      </w:r>
      <w:r>
        <w:rPr>
          <w:rFonts w:ascii="Arial" w:cs="Arial" w:eastAsia="Arial" w:hAnsi="Arial"/>
          <w:sz w:val="18"/>
          <w:szCs w:val="18"/>
          <w:color w:val="auto"/>
        </w:rPr>
        <w:t>The Company shall not take any action that would result in an Underwriter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being required to file with the Commission pursuant to Rule 433(d) under the Securities Act a free writing prospectus prepared by or on behalf of such Underwriter that such Underwriter otherwise would not have been required to file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7" w:name="page78"/>
    <w:bookmarkEnd w:id="77"/>
    <w:p>
      <w:pPr>
        <w:ind w:left="-656" w:firstLine="656"/>
        <w:spacing w:after="0" w:line="268" w:lineRule="auto"/>
        <w:tabs>
          <w:tab w:leader="none" w:pos="911"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Amendments and Supplements to Time of Sale Prospectus. </w:t>
      </w:r>
      <w:r>
        <w:rPr>
          <w:rFonts w:ascii="Arial" w:cs="Arial" w:eastAsia="Arial" w:hAnsi="Arial"/>
          <w:sz w:val="17"/>
          <w:szCs w:val="17"/>
          <w:color w:val="auto"/>
        </w:rPr>
        <w:t>If the Time of Sale Prospectus is being used to solicit offers to buy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Offered 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reasonable opinion of counsel for the Underwriters, it is necessary to amend or supplement the Time of Sale Prospectus to comply with applicable law, including the Securities Act,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 including the Securities Act.</w:t>
      </w:r>
    </w:p>
    <w:p>
      <w:pPr>
        <w:spacing w:after="0" w:line="182" w:lineRule="exact"/>
        <w:rPr>
          <w:rFonts w:ascii="Arial" w:cs="Arial" w:eastAsia="Arial" w:hAnsi="Arial"/>
          <w:sz w:val="17"/>
          <w:szCs w:val="17"/>
          <w:b w:val="1"/>
          <w:bCs w:val="1"/>
          <w:color w:val="auto"/>
        </w:rPr>
      </w:pPr>
    </w:p>
    <w:p>
      <w:pPr>
        <w:ind w:left="-656" w:firstLine="656"/>
        <w:spacing w:after="0" w:line="268" w:lineRule="auto"/>
        <w:tabs>
          <w:tab w:leader="none" w:pos="936"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Certain Notifications and Required Actions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After the date of this Agreement, and until such time as the Underwriters are no longer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to deliver a Prospectus in order to confirm sales of the Offered Shares, the Company shall promptly advise the Representatives in writing of: (i) the receipt by the Company of any comments of, or requests for additional or supplemental information from, the Commission relating to the Registration Statement;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reasonably practicable.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w:t>
      </w:r>
    </w:p>
    <w:p>
      <w:pPr>
        <w:spacing w:after="0" w:line="188" w:lineRule="exact"/>
        <w:rPr>
          <w:rFonts w:ascii="Arial" w:cs="Arial" w:eastAsia="Arial" w:hAnsi="Arial"/>
          <w:sz w:val="17"/>
          <w:szCs w:val="17"/>
          <w:b w:val="1"/>
          <w:bCs w:val="1"/>
          <w:color w:val="auto"/>
        </w:rPr>
      </w:pPr>
    </w:p>
    <w:p>
      <w:pPr>
        <w:ind w:left="-656" w:right="40" w:firstLine="656"/>
        <w:spacing w:after="0" w:line="269" w:lineRule="auto"/>
        <w:tabs>
          <w:tab w:leader="none" w:pos="921"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Amendments and Supplements to the Prospectus and Other Securities Act Matters. </w:t>
      </w:r>
      <w:r>
        <w:rPr>
          <w:rFonts w:ascii="Arial" w:cs="Arial" w:eastAsia="Arial" w:hAnsi="Arial"/>
          <w:sz w:val="17"/>
          <w:szCs w:val="17"/>
          <w:color w:val="auto"/>
        </w:rPr>
        <w:t>If any event shall occur or condition exist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reasonable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414020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78" w:name="page79"/>
    <w:bookmarkEnd w:id="78"/>
    <w:p>
      <w:pPr>
        <w:ind w:left="-656" w:right="80" w:firstLine="656"/>
        <w:spacing w:after="0" w:line="271" w:lineRule="auto"/>
        <w:tabs>
          <w:tab w:leader="none" w:pos="887"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Blue Sky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cooperate with the Representatives and counsel for the Underwriters to qualify or register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Offered Shares for sale under (or obtain exemptions from the application of) the state securities or blue sky laws or Canadian provincial securities laws (or other foreign laws) of those jurisdictions reasonably designated by the Representatives, shall use commercially reasonable efforts to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or taxation in any such jurisdiction where it is not presently qualified or so subject.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possible.</w:t>
      </w:r>
    </w:p>
    <w:p>
      <w:pPr>
        <w:spacing w:after="0" w:line="173" w:lineRule="exact"/>
        <w:rPr>
          <w:rFonts w:ascii="Arial" w:cs="Arial" w:eastAsia="Arial" w:hAnsi="Arial"/>
          <w:sz w:val="17"/>
          <w:szCs w:val="17"/>
          <w:b w:val="1"/>
          <w:bCs w:val="1"/>
          <w:color w:val="auto"/>
        </w:rPr>
      </w:pPr>
    </w:p>
    <w:p>
      <w:pPr>
        <w:ind w:left="-656" w:right="240" w:firstLine="656"/>
        <w:spacing w:after="0" w:line="282" w:lineRule="auto"/>
        <w:tabs>
          <w:tab w:leader="none" w:pos="926"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Proceeds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apply the net proceeds from the sale of the Offered Shares sold by it in the manner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caption “Use of Proceeds” in the Registration Statement, the Time of Sale Prospectus and the Prospectus.</w:t>
      </w:r>
    </w:p>
    <w:p>
      <w:pPr>
        <w:spacing w:after="0" w:line="161" w:lineRule="exact"/>
        <w:rPr>
          <w:rFonts w:ascii="Arial" w:cs="Arial" w:eastAsia="Arial" w:hAnsi="Arial"/>
          <w:sz w:val="18"/>
          <w:szCs w:val="18"/>
          <w:b w:val="1"/>
          <w:bCs w:val="1"/>
          <w:color w:val="auto"/>
        </w:rPr>
      </w:pPr>
    </w:p>
    <w:p>
      <w:pPr>
        <w:ind w:left="944" w:hanging="944"/>
        <w:spacing w:after="0"/>
        <w:tabs>
          <w:tab w:leader="none" w:pos="944"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Transfer Agent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engage and maintain, at its expense, a registrar and transfer agent for the Shares.</w:t>
      </w:r>
    </w:p>
    <w:p>
      <w:pPr>
        <w:spacing w:after="0" w:line="225" w:lineRule="exact"/>
        <w:rPr>
          <w:rFonts w:ascii="Arial" w:cs="Arial" w:eastAsia="Arial" w:hAnsi="Arial"/>
          <w:sz w:val="18"/>
          <w:szCs w:val="18"/>
          <w:b w:val="1"/>
          <w:bCs w:val="1"/>
          <w:color w:val="auto"/>
        </w:rPr>
      </w:pPr>
    </w:p>
    <w:p>
      <w:pPr>
        <w:ind w:left="-656" w:right="180" w:firstLine="656"/>
        <w:spacing w:after="0" w:line="261" w:lineRule="auto"/>
        <w:tabs>
          <w:tab w:leader="none" w:pos="887"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make generally available to its security holders and to the Representatives as soon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179" w:lineRule="exact"/>
        <w:rPr>
          <w:rFonts w:ascii="Arial" w:cs="Arial" w:eastAsia="Arial" w:hAnsi="Arial"/>
          <w:sz w:val="18"/>
          <w:szCs w:val="18"/>
          <w:b w:val="1"/>
          <w:bCs w:val="1"/>
          <w:color w:val="auto"/>
        </w:rPr>
      </w:pPr>
    </w:p>
    <w:p>
      <w:pPr>
        <w:ind w:left="-656" w:right="40" w:firstLine="656"/>
        <w:spacing w:after="0" w:line="298" w:lineRule="auto"/>
        <w:tabs>
          <w:tab w:leader="none" w:pos="882"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Continued Compliance with Securities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comply with the Securities Act and the Exchange Act so as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permit the completion of the distribution of the Offered Shares as contemplated by this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w:t>
      </w:r>
    </w:p>
    <w:p>
      <w:pPr>
        <w:spacing w:after="0" w:line="153" w:lineRule="exact"/>
        <w:rPr>
          <w:rFonts w:ascii="Arial" w:cs="Arial" w:eastAsia="Arial" w:hAnsi="Arial"/>
          <w:sz w:val="16"/>
          <w:szCs w:val="16"/>
          <w:b w:val="1"/>
          <w:bCs w:val="1"/>
          <w:color w:val="auto"/>
        </w:rPr>
      </w:pPr>
    </w:p>
    <w:p>
      <w:pPr>
        <w:ind w:left="904" w:hanging="904"/>
        <w:spacing w:after="0"/>
        <w:tabs>
          <w:tab w:leader="none" w:pos="904"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use its best efforts to list, subject to notice of issuance, the Offered Shares on the Nasdaq.</w:t>
      </w:r>
    </w:p>
    <w:p>
      <w:pPr>
        <w:spacing w:after="0" w:line="225" w:lineRule="exact"/>
        <w:rPr>
          <w:rFonts w:ascii="Arial" w:cs="Arial" w:eastAsia="Arial" w:hAnsi="Arial"/>
          <w:sz w:val="18"/>
          <w:szCs w:val="18"/>
          <w:b w:val="1"/>
          <w:bCs w:val="1"/>
          <w:color w:val="auto"/>
        </w:rPr>
      </w:pPr>
    </w:p>
    <w:p>
      <w:pPr>
        <w:ind w:left="-656" w:firstLine="656"/>
        <w:spacing w:after="0" w:line="287" w:lineRule="auto"/>
        <w:tabs>
          <w:tab w:leader="none" w:pos="887"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Company to Provide Copy of the Prospectus in Form That May be Downloaded from the Internet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requested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Representatives, the Company shall cause to be prepared and delivered, at its expense, within one business day from the effective date of this Agreement, to the Representatives an “</w:t>
      </w:r>
      <w:r>
        <w:rPr>
          <w:rFonts w:ascii="Arial" w:cs="Arial" w:eastAsia="Arial" w:hAnsi="Arial"/>
          <w:sz w:val="16"/>
          <w:szCs w:val="16"/>
          <w:b w:val="1"/>
          <w:bCs w:val="1"/>
          <w:color w:val="auto"/>
        </w:rPr>
        <w:t>electronic Prospectus</w:t>
      </w:r>
      <w:r>
        <w:rPr>
          <w:rFonts w:ascii="Arial" w:cs="Arial" w:eastAsia="Arial" w:hAnsi="Arial"/>
          <w:sz w:val="16"/>
          <w:szCs w:val="16"/>
          <w:color w:val="auto"/>
        </w:rPr>
        <w:t>” to be used by the Underwriters in connection with the offering and sale of the Offered Shares. As used herein, the term “</w:t>
      </w:r>
      <w:r>
        <w:rPr>
          <w:rFonts w:ascii="Arial" w:cs="Arial" w:eastAsia="Arial" w:hAnsi="Arial"/>
          <w:sz w:val="16"/>
          <w:szCs w:val="16"/>
          <w:b w:val="1"/>
          <w:bCs w:val="1"/>
          <w:color w:val="auto"/>
        </w:rPr>
        <w:t>electronic Prospectus</w:t>
      </w:r>
      <w:r>
        <w:rPr>
          <w:rFonts w:ascii="Arial" w:cs="Arial" w:eastAsia="Arial" w:hAnsi="Arial"/>
          <w:sz w:val="16"/>
          <w:szCs w:val="16"/>
          <w:color w:val="auto"/>
        </w:rPr>
        <w:t>” means a form of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407035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1120" w:right="339" w:bottom="1440" w:gutter="0" w:footer="0" w:header="0"/>
        </w:sectPr>
      </w:pPr>
    </w:p>
    <w:bookmarkStart w:id="79" w:name="page80"/>
    <w:bookmarkEnd w:id="79"/>
    <w:p>
      <w:pPr>
        <w:ind w:left="-8" w:firstLine="656"/>
        <w:spacing w:after="0" w:line="282" w:lineRule="auto"/>
        <w:tabs>
          <w:tab w:leader="none" w:pos="1569" w:val="left"/>
        </w:tabs>
        <w:numPr>
          <w:ilvl w:val="1"/>
          <w:numId w:val="7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Agreement Not to Offer or Sell Additional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period commencing on and including the date hereof and continuing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and including the 180th day following the date of the Prospectus (such period being referred to herein as the “</w:t>
      </w:r>
      <w:r>
        <w:rPr>
          <w:rFonts w:ascii="Arial" w:cs="Arial" w:eastAsia="Arial" w:hAnsi="Arial"/>
          <w:sz w:val="16"/>
          <w:szCs w:val="16"/>
          <w:b w:val="1"/>
          <w:bCs w:val="1"/>
          <w:color w:val="auto"/>
        </w:rPr>
        <w:t>Lock-up Period</w:t>
      </w:r>
      <w:r>
        <w:rPr>
          <w:rFonts w:ascii="Arial" w:cs="Arial" w:eastAsia="Arial" w:hAnsi="Arial"/>
          <w:sz w:val="16"/>
          <w:szCs w:val="16"/>
          <w:color w:val="auto"/>
        </w:rPr>
        <w:t xml:space="preserve">”), the Company will not, without the prior written consent of the Representatives (which consent may be withheld in their sole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(other than as contemplated by this Agreement with respect to the Offered Shares); (vii) submit or file any registration statement under the Securities Act in respect of any Shares or Related Securities (other than as contemplated by this Agreement with respect to the Offered Shares); (viii) effect a reverse stock split, recapitalization, share consolidation, reclassification or similar transaction affecting the outstanding Shares; or (ix) publicly announce the intention to do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(A) effect the transactions contemplated hereby, (B) issue Shares or options to purchase Shares, or issue Shares upon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options, pursuant to any stock option, stock bonus or other stock plan or arrangement described in the Registration Statement, the Time of Sale Prospectus and the Prospectus, or issue warrants to purchase Shares in exchange for or upon conversion of outstanding warrants to purchase preferred shares, or issue Shares upon conversion of outstanding preferred shares, but only if the holders of such Shares, options, warrants or preferred shares (as the case may be) agree in writing with the Underwriters not to sell, offer, dispose of or otherwise transfer any such Shares or options during such Lock-up Period without the prior written consent of the Representatives (which consent may be withheld in its sole discretion) or provide the Representatives a signed Lock-Up Agreement substantially in the form of Exhibit A hereto), (C) file one or more registration statements on Form S-8 with respect to any Shares or Related Securities issued or issuable pursuant to any stock option, stock bonus, or other stock plan or arrangement described in the Registration Statement, the Time of Sale Prospectus or the Prospectus, (D) issue Shares in connection with the acquisition or license by the Company of the securities, business, property, technology or other assets of another person or business entity or pursuant to any employee benefit plan assumed by the Company in connection with any such acquisition; (E) issue Shares or Related Securities, or enter into an agreement to issue Shares or Related Securities, in connection with any merger, joint venture, strategic alliance, commercial or other collaborative transaction; provided that, in the case of immediately preceding clauses</w:t>
      </w:r>
    </w:p>
    <w:p>
      <w:pPr>
        <w:spacing w:after="0" w:line="13" w:lineRule="exact"/>
        <w:rPr>
          <w:rFonts w:ascii="Arial" w:cs="Arial" w:eastAsia="Arial" w:hAnsi="Arial"/>
          <w:sz w:val="16"/>
          <w:szCs w:val="16"/>
          <w:b w:val="1"/>
          <w:bCs w:val="1"/>
          <w:color w:val="auto"/>
        </w:rPr>
      </w:pPr>
    </w:p>
    <w:p>
      <w:pPr>
        <w:ind w:left="-8" w:firstLine="8"/>
        <w:spacing w:after="0" w:line="267" w:lineRule="auto"/>
        <w:tabs>
          <w:tab w:leader="none" w:pos="287"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and (E), (x) the aggregate number of Shares issued or underlying such Related Securities issued in connection with all such acquisitions and other transactions does not exceed 5% of the number of Shares outstanding on a fully diluted basis after giving effect to the consummation of the offering of the Offered Shares pursuant to this Agreement and (y) the recipients of the Shares or Related Securities agrees in writing to be bound by the same terms described in the lock-up agreement attached for the remainder of the Lock-Up Period; and (F) assist any stockholder of the Company in the establishment of a trading plan by such stockholder pursuant to Rule 10b5-1 under the Exchange Act for the transfer of shares of Common Stock, provided that such plan does not provide for the transfer of shares of Common Stock during the Lock-Up Period, and the establishment of such plan does not require or otherwise result in any public filings or other public announcement of such plan during such Lock-Up Period and such plan is otherwise permitted to be implemented during the Lock-up Period pursuant to the terms of the Lock-Up Agreement between such stockholder and the Underwriters in connection with the offering of the Offered Shares. For purposes of the foregoing, “</w:t>
      </w:r>
      <w:r>
        <w:rPr>
          <w:rFonts w:ascii="Arial" w:cs="Arial" w:eastAsia="Arial" w:hAnsi="Arial"/>
          <w:sz w:val="17"/>
          <w:szCs w:val="17"/>
          <w:b w:val="1"/>
          <w:bCs w:val="1"/>
          <w:color w:val="auto"/>
        </w:rPr>
        <w:t>Related Securities</w:t>
      </w:r>
      <w:r>
        <w:rPr>
          <w:rFonts w:ascii="Arial" w:cs="Arial" w:eastAsia="Arial" w:hAnsi="Arial"/>
          <w:sz w:val="17"/>
          <w:szCs w:val="17"/>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418465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80" w:name="page81"/>
    <w:bookmarkEnd w:id="80"/>
    <w:p>
      <w:pPr>
        <w:ind w:left="-656" w:firstLine="656"/>
        <w:spacing w:after="0" w:line="289" w:lineRule="auto"/>
        <w:tabs>
          <w:tab w:leader="none" w:pos="887"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Future Reports to the Representatives. </w:t>
      </w:r>
      <w:r>
        <w:rPr>
          <w:rFonts w:ascii="Arial" w:cs="Arial" w:eastAsia="Arial" w:hAnsi="Arial"/>
          <w:sz w:val="16"/>
          <w:szCs w:val="16"/>
          <w:color w:val="auto"/>
        </w:rPr>
        <w:t>During the period of five years hereafter, the Company will furnish to the Representatives, c/o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Jefferies, at 520 Madison Avenue, New York, New York 10022, Attention: Global Head of Syndicate, c/o Piper Sandler, at 345 Park Ave, Suite 1200, New York, New York 10154, Attention: Equity Capital Markets: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requirements of this Section 3(p) shall be satisfied to the extent that such reports, statements, communications, financial statements or other documents are available on EDGAR.</w:t>
      </w:r>
    </w:p>
    <w:p>
      <w:pPr>
        <w:spacing w:after="0" w:line="162" w:lineRule="exact"/>
        <w:rPr>
          <w:rFonts w:ascii="Arial" w:cs="Arial" w:eastAsia="Arial" w:hAnsi="Arial"/>
          <w:sz w:val="16"/>
          <w:szCs w:val="16"/>
          <w:b w:val="1"/>
          <w:bCs w:val="1"/>
          <w:color w:val="auto"/>
        </w:rPr>
      </w:pPr>
    </w:p>
    <w:p>
      <w:pPr>
        <w:ind w:left="-656" w:right="320" w:firstLine="656"/>
        <w:spacing w:after="0" w:line="266" w:lineRule="auto"/>
        <w:tabs>
          <w:tab w:leader="none" w:pos="887"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Investment Limitation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not invest or otherwise use the proceeds received by the Company from its sale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Shares in such a manner as would require the Company or any of its subsidiaries to register as an investment company under the Investment Company Act.</w:t>
      </w:r>
    </w:p>
    <w:p>
      <w:pPr>
        <w:spacing w:after="0" w:line="175" w:lineRule="exact"/>
        <w:rPr>
          <w:rFonts w:ascii="Arial" w:cs="Arial" w:eastAsia="Arial" w:hAnsi="Arial"/>
          <w:sz w:val="18"/>
          <w:szCs w:val="18"/>
          <w:b w:val="1"/>
          <w:bCs w:val="1"/>
          <w:color w:val="auto"/>
        </w:rPr>
      </w:pPr>
    </w:p>
    <w:p>
      <w:pPr>
        <w:ind w:left="-656" w:right="20" w:firstLine="656"/>
        <w:spacing w:after="0" w:line="281" w:lineRule="auto"/>
        <w:tabs>
          <w:tab w:leader="none" w:pos="911"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Stabilization or Manipulation; Compliance with Regulation 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will not take, and will ensure that no affiliate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will take, directly or indirectly, any action designed to or that would reasonably be expected to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w:t>
      </w:r>
    </w:p>
    <w:p>
      <w:pPr>
        <w:spacing w:after="0" w:line="164" w:lineRule="exact"/>
        <w:rPr>
          <w:rFonts w:ascii="Arial" w:cs="Arial" w:eastAsia="Arial" w:hAnsi="Arial"/>
          <w:sz w:val="17"/>
          <w:szCs w:val="17"/>
          <w:b w:val="1"/>
          <w:bCs w:val="1"/>
          <w:color w:val="auto"/>
        </w:rPr>
      </w:pPr>
    </w:p>
    <w:p>
      <w:pPr>
        <w:ind w:left="-656" w:right="40" w:firstLine="656"/>
        <w:spacing w:after="0" w:line="256" w:lineRule="auto"/>
        <w:tabs>
          <w:tab w:leader="none" w:pos="946"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Enforce Lock-Up Agreements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Lock-up Period, the Company will enforce all agreements between the Company and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its security 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and security holders pursuant to Section 6(j)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422275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81" w:name="page82"/>
    <w:bookmarkEnd w:id="81"/>
    <w:p>
      <w:pPr>
        <w:ind w:right="160" w:firstLine="656"/>
        <w:spacing w:after="0" w:line="277" w:lineRule="auto"/>
        <w:tabs>
          <w:tab w:leader="none" w:pos="1592"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Company to Provide Interim Financial Statements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the First Closing Date and each applicable Option Closing Date,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Company will furnish the Underwriters, as soon as practicable after they have been prepared by or are available to the Company, a copy of any unaudited interim financial statements of the Company for any period subsequent to the period covered by the most recent financial statements appearing in the Registration Statement and the Prospectus;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requirements of this Section 3(t) shall be satisfied to the extent that such reports, statement, communications, financial statements or other documents are available on EDGAR.</w:t>
      </w:r>
    </w:p>
    <w:p>
      <w:pPr>
        <w:spacing w:after="0" w:line="171" w:lineRule="exact"/>
        <w:rPr>
          <w:rFonts w:ascii="Arial" w:cs="Arial" w:eastAsia="Arial" w:hAnsi="Arial"/>
          <w:sz w:val="17"/>
          <w:szCs w:val="17"/>
          <w:b w:val="1"/>
          <w:bCs w:val="1"/>
          <w:color w:val="auto"/>
        </w:rPr>
      </w:pPr>
    </w:p>
    <w:p>
      <w:pPr>
        <w:ind w:firstLine="656"/>
        <w:spacing w:after="0" w:line="291" w:lineRule="auto"/>
        <w:tabs>
          <w:tab w:leader="none" w:pos="1543" w:val="left"/>
        </w:tabs>
        <w:numPr>
          <w:ilvl w:val="0"/>
          <w:numId w:val="7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Amendments and Supplements to Permitted Section 5(d) Communications. </w:t>
      </w:r>
      <w:r>
        <w:rPr>
          <w:rFonts w:ascii="Arial" w:cs="Arial" w:eastAsia="Arial" w:hAnsi="Arial"/>
          <w:sz w:val="16"/>
          <w:szCs w:val="16"/>
          <w:color w:val="auto"/>
        </w:rPr>
        <w:t>If at any time following the distribution of any Permitted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5(d) Communication, during the period when a prospectus relating to the Offered Shares is required by the Securities Act to be delivered (whether physically or through compliance with Rule 172 under the Securities Act or any similar rule)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upon the reasonable request of the Representatives, will promptly amend or supplement, at its own expense, such Permitted Section 5(d) Communication to eliminate or correct such untrue statement or omission.</w:t>
      </w:r>
    </w:p>
    <w:p>
      <w:pPr>
        <w:spacing w:after="0" w:line="166" w:lineRule="exact"/>
        <w:rPr>
          <w:rFonts w:ascii="Arial" w:cs="Arial" w:eastAsia="Arial" w:hAnsi="Arial"/>
          <w:sz w:val="16"/>
          <w:szCs w:val="16"/>
          <w:b w:val="1"/>
          <w:bCs w:val="1"/>
          <w:i w:val="1"/>
          <w:iCs w:val="1"/>
          <w:color w:val="auto"/>
        </w:rPr>
      </w:pPr>
    </w:p>
    <w:p>
      <w:pPr>
        <w:ind w:right="200" w:firstLine="656"/>
        <w:spacing w:after="0" w:line="259" w:lineRule="auto"/>
        <w:tabs>
          <w:tab w:leader="none" w:pos="1567"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Emerging Growth Company Status. </w:t>
      </w:r>
      <w:r>
        <w:rPr>
          <w:rFonts w:ascii="Arial" w:cs="Arial" w:eastAsia="Arial" w:hAnsi="Arial"/>
          <w:sz w:val="18"/>
          <w:szCs w:val="18"/>
          <w:color w:val="auto"/>
        </w:rPr>
        <w:t>The Company will promptly notify the Representatives if the Company ceases to be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Emerging Growth Company at any time prior to the later of (i) the time when a prospectus relating to the Offered Shares is not required by the Securities Act to be delivered (whether physically or through compliance with Rule 172 under the Securities Act or any similar rule) and (ii) the expiration of the Lock-Up Period (as defined herein).</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Representatives, on behalf of the several Underwriters, may, in their sole discretion, waive in writing the performance by the Company of any one or more of the foregoing covenants or extend the time for their performance.</w:t>
      </w:r>
    </w:p>
    <w:p>
      <w:pPr>
        <w:spacing w:after="0" w:line="166" w:lineRule="exact"/>
        <w:rPr>
          <w:sz w:val="20"/>
          <w:szCs w:val="20"/>
          <w:color w:val="auto"/>
        </w:rPr>
      </w:pPr>
    </w:p>
    <w:p>
      <w:pPr>
        <w:ind w:right="20" w:firstLine="1296"/>
        <w:spacing w:after="0" w:line="287" w:lineRule="auto"/>
        <w:rPr>
          <w:sz w:val="20"/>
          <w:szCs w:val="20"/>
          <w:color w:val="auto"/>
        </w:rPr>
      </w:pPr>
      <w:r>
        <w:rPr>
          <w:rFonts w:ascii="Arial" w:cs="Arial" w:eastAsia="Arial" w:hAnsi="Arial"/>
          <w:sz w:val="16"/>
          <w:szCs w:val="16"/>
          <w:b w:val="1"/>
          <w:bCs w:val="1"/>
          <w:color w:val="auto"/>
        </w:rPr>
        <w:t xml:space="preserve">Section 4. Payment of Expenses. </w:t>
      </w:r>
      <w:r>
        <w:rPr>
          <w:rFonts w:ascii="Arial" w:cs="Arial" w:eastAsia="Arial" w:hAnsi="Arial"/>
          <w:sz w:val="16"/>
          <w:szCs w:val="16"/>
          <w:color w:val="auto"/>
        </w:rPr>
        <w:t>The Company agrees to pay all costs, fees and expenses incurred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its 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Shares, (iii) all necessary issue, transfer and other stamp taxes in connection with the issuance and sale of the Offered Shares to the Underwriters,</w:t>
      </w:r>
    </w:p>
    <w:p>
      <w:pPr>
        <w:spacing w:after="0" w:line="2" w:lineRule="exact"/>
        <w:rPr>
          <w:sz w:val="20"/>
          <w:szCs w:val="20"/>
          <w:color w:val="auto"/>
        </w:rPr>
      </w:pPr>
    </w:p>
    <w:p>
      <w:pPr>
        <w:ind w:firstLine="8"/>
        <w:spacing w:after="0" w:line="283" w:lineRule="auto"/>
        <w:tabs>
          <w:tab w:leader="none" w:pos="305"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each Permitted Section 5(d) Communication, and all amendments and supplements thereto, and this Agreement, (vi) all filing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(including reasonable and documented attorneys’ fees and expenses up to a maximum aggregate amount of $10,000),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reasonable and documented legal fees of, and disbursements by, counsel to the Underwriters, up to a maximum aggregate amount of $25,000 (viii) the costs and expenses of the Company relating to investor presentations on any “road show”, any Permitted Section 5(d) Communication or any Section 5(d) Oral Communication undertaken in connection with the offering of the Offered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the cost of any aircraft chartered in connection with the road show, provided that the cost of any such chartered aircraft shall be borne 50% by the Company and 50% by the Underwriters, (ix) the fees and expenses associated with listing the Offered Shares on the Nasdaq, and (x) all other fees, costs and expenses of the nature referred to in Item 13 of Part II of the Registration Statement and all reasonable costs and expenses of the Underwriters. Except as provided in this Section 4 or in Section 7, Section 9 or Section 10 hereof, the Underwriters shall pay their own expenses, including the fees and disbursements of their counsel and their own travel and lodging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2" w:name="page83"/>
    <w:bookmarkEnd w:id="82"/>
    <w:p>
      <w:pPr>
        <w:ind w:right="260" w:firstLine="1296"/>
        <w:spacing w:after="0" w:line="261" w:lineRule="auto"/>
        <w:rPr>
          <w:sz w:val="20"/>
          <w:szCs w:val="20"/>
          <w:color w:val="auto"/>
        </w:rPr>
      </w:pPr>
      <w:r>
        <w:rPr>
          <w:rFonts w:ascii="Arial" w:cs="Arial" w:eastAsia="Arial" w:hAnsi="Arial"/>
          <w:sz w:val="18"/>
          <w:szCs w:val="18"/>
          <w:b w:val="1"/>
          <w:bCs w:val="1"/>
          <w:color w:val="auto"/>
        </w:rPr>
        <w:t xml:space="preserve">Section 5. Covenant of the Underwriters. </w:t>
      </w:r>
      <w:r>
        <w:rPr>
          <w:rFonts w:ascii="Arial" w:cs="Arial" w:eastAsia="Arial" w:hAnsi="Arial"/>
          <w:sz w:val="18"/>
          <w:szCs w:val="18"/>
          <w:color w:val="auto"/>
        </w:rPr>
        <w:t>Each Underwriter severally and not jointly covenants with the Company not to</w:t>
      </w:r>
      <w:r>
        <w:rPr>
          <w:rFonts w:ascii="Arial" w:cs="Arial" w:eastAsia="Arial" w:hAnsi="Arial"/>
          <w:sz w:val="18"/>
          <w:szCs w:val="18"/>
          <w:b w:val="1"/>
          <w:bCs w:val="1"/>
          <w:color w:val="auto"/>
        </w:rPr>
        <w:t xml:space="preserve"> </w:t>
      </w:r>
      <w:r>
        <w:rPr>
          <w:rFonts w:ascii="Arial" w:cs="Arial" w:eastAsia="Arial" w:hAnsi="Arial"/>
          <w:sz w:val="18"/>
          <w:szCs w:val="18"/>
          <w:color w:val="auto"/>
        </w:rPr>
        <w:t>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80" w:lineRule="exact"/>
        <w:rPr>
          <w:sz w:val="20"/>
          <w:szCs w:val="20"/>
          <w:color w:val="auto"/>
        </w:rPr>
      </w:pPr>
    </w:p>
    <w:p>
      <w:pPr>
        <w:ind w:right="20" w:firstLine="1296"/>
        <w:spacing w:after="0" w:line="298" w:lineRule="auto"/>
        <w:rPr>
          <w:sz w:val="20"/>
          <w:szCs w:val="20"/>
          <w:color w:val="auto"/>
        </w:rPr>
      </w:pPr>
      <w:r>
        <w:rPr>
          <w:rFonts w:ascii="Arial" w:cs="Arial" w:eastAsia="Arial" w:hAnsi="Arial"/>
          <w:sz w:val="16"/>
          <w:szCs w:val="16"/>
          <w:b w:val="1"/>
          <w:bCs w:val="1"/>
          <w:color w:val="auto"/>
        </w:rPr>
        <w:t xml:space="preserve">Section 6. Conditions of the Obligations of the Underwriters. </w:t>
      </w:r>
      <w:r>
        <w:rPr>
          <w:rFonts w:ascii="Arial" w:cs="Arial" w:eastAsia="Arial" w:hAnsi="Arial"/>
          <w:sz w:val="16"/>
          <w:szCs w:val="16"/>
          <w:color w:val="auto"/>
        </w:rPr>
        <w:t>The respective obligations of the several Underwriters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to purchase and pay 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spacing w:after="0" w:line="154" w:lineRule="exact"/>
        <w:rPr>
          <w:sz w:val="20"/>
          <w:szCs w:val="20"/>
          <w:color w:val="auto"/>
        </w:rPr>
      </w:pPr>
    </w:p>
    <w:p>
      <w:pPr>
        <w:ind w:right="120" w:firstLine="656"/>
        <w:spacing w:after="0" w:line="298" w:lineRule="auto"/>
        <w:tabs>
          <w:tab w:leader="none" w:pos="1577"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Comfort Letter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date hereof, the Representatives shall have received from KPMG LLP, independent registered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accountants for the Company, a letter dated the date hereof addressed to the Underwriters, in form and substance reasonably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of the Company and certain financial information contained in the Registration Statement, the Time of Sale Prospectus, and each free writing prospectus, if any.</w:t>
      </w:r>
    </w:p>
    <w:p>
      <w:pPr>
        <w:spacing w:after="0" w:line="157" w:lineRule="exact"/>
        <w:rPr>
          <w:rFonts w:ascii="Arial" w:cs="Arial" w:eastAsia="Arial" w:hAnsi="Arial"/>
          <w:sz w:val="16"/>
          <w:szCs w:val="16"/>
          <w:b w:val="1"/>
          <w:bCs w:val="1"/>
          <w:color w:val="auto"/>
        </w:rPr>
      </w:pPr>
    </w:p>
    <w:p>
      <w:pPr>
        <w:ind w:right="80" w:firstLine="656"/>
        <w:spacing w:after="0" w:line="263" w:lineRule="auto"/>
        <w:tabs>
          <w:tab w:leader="none" w:pos="1543"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Registration Requirements; No Stop Order; No Objection from FINRA. </w:t>
      </w:r>
      <w:r>
        <w:rPr>
          <w:rFonts w:ascii="Arial" w:cs="Arial" w:eastAsia="Arial" w:hAnsi="Arial"/>
          <w:sz w:val="18"/>
          <w:szCs w:val="18"/>
          <w:color w:val="auto"/>
        </w:rPr>
        <w:t>For the period from and after the date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and through and including the First Closing Date and, with respect to any Optional Shares purchased after the First Closing Date, each Option Closing Date:</w:t>
      </w:r>
    </w:p>
    <w:p>
      <w:pPr>
        <w:spacing w:after="0" w:line="183" w:lineRule="exact"/>
        <w:rPr>
          <w:rFonts w:ascii="Arial" w:cs="Arial" w:eastAsia="Arial" w:hAnsi="Arial"/>
          <w:sz w:val="18"/>
          <w:szCs w:val="18"/>
          <w:b w:val="1"/>
          <w:bCs w:val="1"/>
          <w:color w:val="auto"/>
        </w:rPr>
      </w:pPr>
    </w:p>
    <w:p>
      <w:pPr>
        <w:ind w:right="80" w:firstLine="1304"/>
        <w:spacing w:after="0" w:line="259" w:lineRule="auto"/>
        <w:tabs>
          <w:tab w:leader="none" w:pos="2186"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Company shall have filed the Prospectus with the Commission (including the information required by Rule 430A under the Securities Act) in the manner and within the time period required by Rule 424(b) under the Securities Act; or the Company shall have filed a post-effective amendment to the Registration Statement containing the information required by such Rule 430A, and such post-effective amendment shall have become effective;</w:t>
      </w:r>
    </w:p>
    <w:p>
      <w:pPr>
        <w:spacing w:after="0" w:line="186" w:lineRule="exact"/>
        <w:rPr>
          <w:rFonts w:ascii="Arial" w:cs="Arial" w:eastAsia="Arial" w:hAnsi="Arial"/>
          <w:sz w:val="18"/>
          <w:szCs w:val="18"/>
          <w:color w:val="auto"/>
        </w:rPr>
      </w:pPr>
    </w:p>
    <w:p>
      <w:pPr>
        <w:ind w:firstLine="1304"/>
        <w:spacing w:after="0" w:line="308" w:lineRule="auto"/>
        <w:tabs>
          <w:tab w:leader="none" w:pos="2190" w:val="left"/>
        </w:tabs>
        <w:numPr>
          <w:ilvl w:val="1"/>
          <w:numId w:val="78"/>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or any post-effective amendment to the Registration Statement shall be in effect, and no proceedings for such purpose shall have been instituted or threatened by the Commission; and</w:t>
      </w:r>
    </w:p>
    <w:p>
      <w:pPr>
        <w:spacing w:after="0" w:line="146" w:lineRule="exact"/>
        <w:rPr>
          <w:rFonts w:ascii="Arial" w:cs="Arial" w:eastAsia="Arial" w:hAnsi="Arial"/>
          <w:sz w:val="17"/>
          <w:szCs w:val="17"/>
          <w:color w:val="auto"/>
        </w:rPr>
      </w:pPr>
    </w:p>
    <w:p>
      <w:pPr>
        <w:ind w:left="2160" w:hanging="856"/>
        <w:spacing w:after="0"/>
        <w:tabs>
          <w:tab w:leader="none" w:pos="2160" w:val="left"/>
        </w:tabs>
        <w:numPr>
          <w:ilvl w:val="1"/>
          <w:numId w:val="78"/>
        </w:numPr>
        <w:rPr>
          <w:rFonts w:ascii="Arial" w:cs="Arial" w:eastAsia="Arial" w:hAnsi="Arial"/>
          <w:sz w:val="17"/>
          <w:szCs w:val="17"/>
          <w:color w:val="auto"/>
        </w:rPr>
      </w:pPr>
      <w:r>
        <w:rPr>
          <w:rFonts w:ascii="Arial" w:cs="Arial" w:eastAsia="Arial" w:hAnsi="Arial"/>
          <w:sz w:val="17"/>
          <w:szCs w:val="17"/>
          <w:color w:val="auto"/>
        </w:rPr>
        <w:t>FINRA shall have raised no objection to the fairness and reasonableness of the underwriting terms and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3" w:name="page84"/>
    <w:bookmarkEnd w:id="83"/>
    <w:p>
      <w:pPr>
        <w:ind w:right="40" w:firstLine="656"/>
        <w:spacing w:after="0" w:line="347" w:lineRule="auto"/>
        <w:tabs>
          <w:tab w:leader="none" w:pos="1567"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Material Adverse Change or Ratings Agency Change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period from and after the date of this Agreement and through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First Closing Date and, with respect to any Optional Shares purchased after the First Closing Date, each Option Closing Date:</w:t>
      </w:r>
    </w:p>
    <w:p>
      <w:pPr>
        <w:spacing w:after="0" w:line="119" w:lineRule="exact"/>
        <w:rPr>
          <w:rFonts w:ascii="Arial" w:cs="Arial" w:eastAsia="Arial" w:hAnsi="Arial"/>
          <w:sz w:val="16"/>
          <w:szCs w:val="16"/>
          <w:b w:val="1"/>
          <w:bCs w:val="1"/>
          <w:color w:val="auto"/>
        </w:rPr>
      </w:pPr>
    </w:p>
    <w:p>
      <w:pPr>
        <w:ind w:left="2200" w:hanging="896"/>
        <w:spacing w:after="0"/>
        <w:tabs>
          <w:tab w:leader="none" w:pos="22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 the sole judgment of the Representatives there shall not have occurred any Material Adverse Change; and</w:t>
      </w:r>
    </w:p>
    <w:p>
      <w:pPr>
        <w:spacing w:after="0" w:line="225" w:lineRule="exact"/>
        <w:rPr>
          <w:rFonts w:ascii="Arial" w:cs="Arial" w:eastAsia="Arial" w:hAnsi="Arial"/>
          <w:sz w:val="18"/>
          <w:szCs w:val="18"/>
          <w:color w:val="auto"/>
        </w:rPr>
      </w:pPr>
    </w:p>
    <w:p>
      <w:pPr>
        <w:ind w:right="100" w:firstLine="1304"/>
        <w:spacing w:after="0" w:line="259" w:lineRule="auto"/>
        <w:tabs>
          <w:tab w:leader="none" w:pos="219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spacing w:after="0" w:line="182" w:lineRule="exact"/>
        <w:rPr>
          <w:rFonts w:ascii="Arial" w:cs="Arial" w:eastAsia="Arial" w:hAnsi="Arial"/>
          <w:sz w:val="18"/>
          <w:szCs w:val="18"/>
          <w:color w:val="auto"/>
        </w:rPr>
      </w:pPr>
    </w:p>
    <w:p>
      <w:pPr>
        <w:ind w:right="40" w:firstLine="656"/>
        <w:spacing w:after="0" w:line="266" w:lineRule="auto"/>
        <w:tabs>
          <w:tab w:leader="none" w:pos="1543"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and Negative Assurance Letter of Counsel for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the Representatives shall have received the opinion and negative assurance letter of Pepper Hamilton LLP, counsel for the Company, dated as of such date, in form and substance reasonably satisfactory to the Representatives.</w:t>
      </w:r>
    </w:p>
    <w:p>
      <w:pPr>
        <w:spacing w:after="0" w:line="179" w:lineRule="exact"/>
        <w:rPr>
          <w:rFonts w:ascii="Arial" w:cs="Arial" w:eastAsia="Arial" w:hAnsi="Arial"/>
          <w:sz w:val="18"/>
          <w:szCs w:val="18"/>
          <w:b w:val="1"/>
          <w:bCs w:val="1"/>
          <w:color w:val="auto"/>
        </w:rPr>
      </w:pPr>
    </w:p>
    <w:p>
      <w:pPr>
        <w:ind w:firstLine="656"/>
        <w:spacing w:after="0" w:line="263" w:lineRule="auto"/>
        <w:tabs>
          <w:tab w:leader="none" w:pos="1567"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Opinion of Intellectual Property Counsel for the Company. </w:t>
      </w:r>
      <w:r>
        <w:rPr>
          <w:rFonts w:ascii="Arial" w:cs="Arial" w:eastAsia="Arial" w:hAnsi="Arial"/>
          <w:sz w:val="18"/>
          <w:szCs w:val="18"/>
          <w:color w:val="auto"/>
        </w:rPr>
        <w:t>On each of the First Closing Date and each Option Closing Date,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Representatives shall have received the opinion of Shay Glenn LLP, counsel for the Company with respect to intellectual property matters, dated as of such date, in form and substance reasonably satisfactory to the Representatives.</w:t>
      </w:r>
    </w:p>
    <w:p>
      <w:pPr>
        <w:spacing w:after="0" w:line="179" w:lineRule="exact"/>
        <w:rPr>
          <w:rFonts w:ascii="Arial" w:cs="Arial" w:eastAsia="Arial" w:hAnsi="Arial"/>
          <w:sz w:val="18"/>
          <w:szCs w:val="18"/>
          <w:b w:val="1"/>
          <w:bCs w:val="1"/>
          <w:color w:val="auto"/>
        </w:rPr>
      </w:pPr>
    </w:p>
    <w:p>
      <w:pPr>
        <w:ind w:right="100" w:firstLine="656"/>
        <w:spacing w:after="0" w:line="314" w:lineRule="auto"/>
        <w:tabs>
          <w:tab w:leader="none" w:pos="1592"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Opinion and Negative Assurance Letter of Counsel for the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each of the First Closing Date and each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Closing Date the Representatives shall have received the opinion and negative assurance letter of Latham &amp; Watkins LLP, counsel for the Underwriters in connection with the offer and sale of the Offered Shares, in form and substance reasonably satisfactory to the Underwriters, dated as of such date.</w:t>
      </w:r>
    </w:p>
    <w:p>
      <w:pPr>
        <w:spacing w:after="0" w:line="141" w:lineRule="exact"/>
        <w:rPr>
          <w:rFonts w:ascii="Arial" w:cs="Arial" w:eastAsia="Arial" w:hAnsi="Arial"/>
          <w:sz w:val="16"/>
          <w:szCs w:val="16"/>
          <w:b w:val="1"/>
          <w:bCs w:val="1"/>
          <w:color w:val="auto"/>
        </w:rPr>
      </w:pPr>
    </w:p>
    <w:p>
      <w:pPr>
        <w:ind w:right="60" w:firstLine="656"/>
        <w:spacing w:after="0" w:line="266" w:lineRule="auto"/>
        <w:tabs>
          <w:tab w:leader="none" w:pos="1577"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Officers’ Certificate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 received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 executed by the Chief Executive Officer or President of the Company and the Chief Financial Officer of the Company, solely in their respective capacities as such, dated as of such date, to the effect set forth in Section 6(b)(ii) and further to the effect that:</w:t>
      </w:r>
    </w:p>
    <w:p>
      <w:pPr>
        <w:spacing w:after="0" w:line="179" w:lineRule="exact"/>
        <w:rPr>
          <w:rFonts w:ascii="Arial" w:cs="Arial" w:eastAsia="Arial" w:hAnsi="Arial"/>
          <w:sz w:val="18"/>
          <w:szCs w:val="18"/>
          <w:b w:val="1"/>
          <w:bCs w:val="1"/>
          <w:color w:val="auto"/>
        </w:rPr>
      </w:pPr>
    </w:p>
    <w:p>
      <w:pPr>
        <w:ind w:left="2200" w:hanging="896"/>
        <w:spacing w:after="0"/>
        <w:tabs>
          <w:tab w:leader="none" w:pos="22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for the period from and including the date of this Agreement through and including such date, there has not occurred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Material Adverse Change;</w:t>
      </w:r>
    </w:p>
    <w:p>
      <w:pPr>
        <w:spacing w:after="0" w:line="210" w:lineRule="exact"/>
        <w:rPr>
          <w:rFonts w:ascii="Arial" w:cs="Arial" w:eastAsia="Arial" w:hAnsi="Arial"/>
          <w:sz w:val="16"/>
          <w:szCs w:val="16"/>
          <w:color w:val="auto"/>
        </w:rPr>
      </w:pPr>
    </w:p>
    <w:p>
      <w:pPr>
        <w:ind w:right="180" w:firstLine="1304"/>
        <w:spacing w:after="0" w:line="277" w:lineRule="auto"/>
        <w:tabs>
          <w:tab w:leader="none" w:pos="219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170" w:lineRule="exact"/>
        <w:rPr>
          <w:rFonts w:ascii="Arial" w:cs="Arial" w:eastAsia="Arial" w:hAnsi="Arial"/>
          <w:sz w:val="18"/>
          <w:szCs w:val="18"/>
          <w:color w:val="auto"/>
        </w:rPr>
      </w:pPr>
    </w:p>
    <w:p>
      <w:pPr>
        <w:ind w:right="360" w:firstLine="1304"/>
        <w:spacing w:after="0" w:line="277" w:lineRule="auto"/>
        <w:tabs>
          <w:tab w:leader="none" w:pos="2195"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the conditions on its part to be performed or satisfied hereunder at or prior to such date.</w:t>
      </w:r>
    </w:p>
    <w:p>
      <w:pPr>
        <w:spacing w:after="0" w:line="166" w:lineRule="exact"/>
        <w:rPr>
          <w:rFonts w:ascii="Arial" w:cs="Arial" w:eastAsia="Arial" w:hAnsi="Arial"/>
          <w:sz w:val="18"/>
          <w:szCs w:val="18"/>
          <w:color w:val="auto"/>
        </w:rPr>
      </w:pPr>
    </w:p>
    <w:p>
      <w:pPr>
        <w:ind w:firstLine="656"/>
        <w:spacing w:after="0" w:line="277" w:lineRule="auto"/>
        <w:tabs>
          <w:tab w:leader="none" w:pos="1543"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Bring-down Comfort Letter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each of the First Closing Date and each Option Closing Date the Representatives shall have received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KPMG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4" w:name="page85"/>
    <w:bookmarkEnd w:id="84"/>
    <w:p>
      <w:pPr>
        <w:jc w:val="both"/>
        <w:ind w:right="200" w:firstLine="656"/>
        <w:spacing w:after="0" w:line="263" w:lineRule="auto"/>
        <w:tabs>
          <w:tab w:leader="none" w:pos="158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Lock-Up Agreements. </w:t>
      </w:r>
      <w:r>
        <w:rPr>
          <w:rFonts w:ascii="Arial" w:cs="Arial" w:eastAsia="Arial" w:hAnsi="Arial"/>
          <w:sz w:val="18"/>
          <w:szCs w:val="18"/>
          <w:color w:val="auto"/>
        </w:rPr>
        <w:t>On or prior to the date hereof, the Company shall have furnished to the Representatives an agreement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 of Exhibit A attached hereto from each of the Company’s officers, directors and security holders, and each such agreement shall be in full force and effect on each of the First Closing Date and each Option Closing Date.</w:t>
      </w:r>
    </w:p>
    <w:p>
      <w:pPr>
        <w:spacing w:after="0" w:line="179" w:lineRule="exact"/>
        <w:rPr>
          <w:rFonts w:ascii="Arial" w:cs="Arial" w:eastAsia="Arial" w:hAnsi="Arial"/>
          <w:sz w:val="18"/>
          <w:szCs w:val="18"/>
          <w:b w:val="1"/>
          <w:bCs w:val="1"/>
          <w:color w:val="auto"/>
        </w:rPr>
      </w:pPr>
    </w:p>
    <w:p>
      <w:pPr>
        <w:jc w:val="both"/>
        <w:ind w:right="280" w:firstLine="656"/>
        <w:spacing w:after="0" w:line="266" w:lineRule="auto"/>
        <w:tabs>
          <w:tab w:leader="none" w:pos="1547"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462(b) Registration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a Rule 462(b) Registration Statement is filed in connection with the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179" w:lineRule="exact"/>
        <w:rPr>
          <w:rFonts w:ascii="Arial" w:cs="Arial" w:eastAsia="Arial" w:hAnsi="Arial"/>
          <w:sz w:val="18"/>
          <w:szCs w:val="18"/>
          <w:b w:val="1"/>
          <w:bCs w:val="1"/>
          <w:color w:val="auto"/>
        </w:rPr>
      </w:pPr>
    </w:p>
    <w:p>
      <w:pPr>
        <w:jc w:val="both"/>
        <w:ind w:right="80" w:firstLine="656"/>
        <w:spacing w:after="0" w:line="279" w:lineRule="auto"/>
        <w:tabs>
          <w:tab w:leader="none" w:pos="1543"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CFO Certificate</w:t>
      </w:r>
      <w:r>
        <w:rPr>
          <w:rFonts w:ascii="Arial" w:cs="Arial" w:eastAsia="Arial" w:hAnsi="Arial"/>
          <w:sz w:val="17"/>
          <w:szCs w:val="17"/>
          <w:color w:val="auto"/>
        </w:rPr>
        <w:t>. On the date of this Agreement and on the First Closing Date or the applicable Option Closing Date, as the case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the Company shall have furnished to the Representatives a certificate, dated the respective dates of delivery thereof and addressed to the Underwriters, of its chief financial officer with respect to certain financial data contained in the Time of Sale Prospectus and the Prospectus, providing “management comfort” with respect to such information, in form and substance reasonably satisfactory to the Representatives.</w:t>
      </w:r>
    </w:p>
    <w:p>
      <w:pPr>
        <w:spacing w:after="0" w:line="171" w:lineRule="exact"/>
        <w:rPr>
          <w:rFonts w:ascii="Arial" w:cs="Arial" w:eastAsia="Arial" w:hAnsi="Arial"/>
          <w:sz w:val="17"/>
          <w:szCs w:val="17"/>
          <w:b w:val="1"/>
          <w:bCs w:val="1"/>
          <w:color w:val="auto"/>
        </w:rPr>
      </w:pPr>
    </w:p>
    <w:p>
      <w:pPr>
        <w:ind w:right="180" w:firstLine="656"/>
        <w:spacing w:after="0" w:line="273" w:lineRule="auto"/>
        <w:tabs>
          <w:tab w:leader="none" w:pos="1582"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Additional Documents</w:t>
      </w:r>
      <w:r>
        <w:rPr>
          <w:rFonts w:ascii="Arial" w:cs="Arial" w:eastAsia="Arial" w:hAnsi="Arial"/>
          <w:sz w:val="17"/>
          <w:szCs w:val="17"/>
          <w:color w:val="auto"/>
        </w:rPr>
        <w:t>. On or before each of the First Closing Date and each Option Closing Date, the Representatives and counsel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If any condition specified in this Section 6 is not satisfied when and as required to be satisfied (unless waived by the Representatives), this Agreement may be terminated by the Representatives by notice from the Representatives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184"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b w:val="1"/>
          <w:bCs w:val="1"/>
          <w:color w:val="auto"/>
        </w:rPr>
        <w:t>Section 7. Reimbursement of Underwriters’ Expenses</w:t>
      </w:r>
      <w:r>
        <w:rPr>
          <w:rFonts w:ascii="Arial" w:cs="Arial" w:eastAsia="Arial" w:hAnsi="Arial"/>
          <w:sz w:val="17"/>
          <w:szCs w:val="17"/>
          <w:color w:val="auto"/>
        </w:rPr>
        <w:t>. If this Agreement is terminated by the Representatives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6 or Section 12(i), (iv) and (v),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reasonably documented out-of-pocket expenses that shall have been reasonably incurred by the Representatives and the Underwriters in connection with the proposed purchase and the offering and sale of the Offered Shares, including, but not limited to, reasonable and documented fees and disbursements of counsel, printing expenses, travel expenses, postage, facsimile and telephone charges; provided that, in the event any such termination is effected after the First Closing Date but prior to any Option Closing Date with respect to the purchase of any Optional Shares, the Company shall only reimburse the Underwriters for all of their out-of-pocket expenses, including the reasonable and documented fees and disbursements of counsel for the Underwriters, incurred after the First Closing Date in connection with the proposed purchase of any such Optional Shares. For the avoidance of doubt, it is understood that the Company will not pay or reimburse any costs, fees or expenses incurred by any Underwriter that defaults on its obligations to purchase the Offered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ind w:right="180" w:firstLine="1296"/>
        <w:spacing w:after="0" w:line="282" w:lineRule="auto"/>
        <w:rPr>
          <w:sz w:val="20"/>
          <w:szCs w:val="20"/>
          <w:color w:val="auto"/>
        </w:rPr>
      </w:pPr>
      <w:r>
        <w:rPr>
          <w:rFonts w:ascii="Arial" w:cs="Arial" w:eastAsia="Arial" w:hAnsi="Arial"/>
          <w:sz w:val="18"/>
          <w:szCs w:val="18"/>
          <w:b w:val="1"/>
          <w:bCs w:val="1"/>
          <w:color w:val="auto"/>
        </w:rPr>
        <w:t>Section 8. Effectiveness of this Agreement</w:t>
      </w:r>
      <w:r>
        <w:rPr>
          <w:rFonts w:ascii="Arial" w:cs="Arial" w:eastAsia="Arial" w:hAnsi="Arial"/>
          <w:sz w:val="18"/>
          <w:szCs w:val="18"/>
          <w:color w:val="auto"/>
        </w:rPr>
        <w:t>. This Agreement shall become effective upon the execution and delivery hereof</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parties hereto.</w:t>
      </w:r>
    </w:p>
    <w:p>
      <w:pPr>
        <w:spacing w:after="0" w:line="162" w:lineRule="exact"/>
        <w:rPr>
          <w:sz w:val="20"/>
          <w:szCs w:val="20"/>
          <w:color w:val="auto"/>
        </w:rPr>
      </w:pPr>
    </w:p>
    <w:p>
      <w:pPr>
        <w:ind w:left="1300"/>
        <w:spacing w:after="0"/>
        <w:tabs>
          <w:tab w:leader="none" w:pos="284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4" w:lineRule="auto"/>
        <w:tabs>
          <w:tab w:leader="none" w:pos="1577"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indemnify and hold harmless each Underwriter, its affiliates,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(A)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or (B) the violation by the Company or anyone acting on behalf of the Company of any laws or regulations of foreign jurisdictions where Offered Shares have been offered or sold; and to reimburse each Underwriter and each such affiliate, director, officer, employee, agent and controlling person for any and all expenses (including the reasonable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any Section 5(d) Written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pacing w:after="0" w:line="180" w:lineRule="exact"/>
        <w:rPr>
          <w:rFonts w:ascii="Arial" w:cs="Arial" w:eastAsia="Arial" w:hAnsi="Arial"/>
          <w:sz w:val="16"/>
          <w:szCs w:val="16"/>
          <w:b w:val="1"/>
          <w:bCs w:val="1"/>
          <w:color w:val="auto"/>
        </w:rPr>
      </w:pPr>
    </w:p>
    <w:p>
      <w:pPr>
        <w:ind w:firstLine="656"/>
        <w:spacing w:after="0" w:line="267" w:lineRule="auto"/>
        <w:tabs>
          <w:tab w:leader="none" w:pos="1543"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Indemnification of the Company, its Directors and Officers</w:t>
      </w:r>
      <w:r>
        <w:rPr>
          <w:rFonts w:ascii="Arial" w:cs="Arial" w:eastAsia="Arial" w:hAnsi="Arial"/>
          <w:sz w:val="17"/>
          <w:szCs w:val="17"/>
          <w:color w:val="auto"/>
        </w:rPr>
        <w:t>. Each Underwriter agrees, severally and not jointly, to indemnify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statements set forth in the [third, fifth, fourteenth through seventeenth, and nineteenth paragraphs] under the caption “Underwriting,” in the Preliminary Prospectus and the Prospectus. The indemnity agreement set forth in this Section 9(b) shall be in addition to any liabilities that each Underwriter may otherwise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6" w:name="page87"/>
    <w:bookmarkEnd w:id="86"/>
    <w:p>
      <w:pPr>
        <w:ind w:left="-656" w:firstLine="656"/>
        <w:spacing w:after="0" w:line="284" w:lineRule="auto"/>
        <w:tabs>
          <w:tab w:leader="none" w:pos="911"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Notifications and Other Indemnification Procedures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Promptly after receipt by an indemnified party under this Section 9 of notice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the 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defendants in any such action include both the indemnified party and the indemnifying party and the indemnified party shall have reasonably concluded based upon advice of counsel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such approval not to be unreasonably withheld, delayed or conditioned, the indemnifying party will not be liable to such indemnified party under this Section 9 for any reasonable and documented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one local counsel for each applicable jurisdiction), representing the indemnified parties who are parties to such action), which counsel (together with such local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such counsel shall be at the expense of the indemnifying party and shall be paid as they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549910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87" w:name="page88"/>
    <w:bookmarkEnd w:id="87"/>
    <w:p>
      <w:pPr>
        <w:ind w:firstLine="656"/>
        <w:spacing w:after="0" w:line="269" w:lineRule="auto"/>
        <w:tabs>
          <w:tab w:leader="none" w:pos="1543"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Settlements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indemnifying party under this Section 9 shall not be liable for any settlement of any proceeding effected without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79"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b w:val="1"/>
          <w:bCs w:val="1"/>
          <w:color w:val="auto"/>
        </w:rPr>
        <w:t>Section 10. Contribution</w:t>
      </w:r>
      <w:r>
        <w:rPr>
          <w:rFonts w:ascii="Arial" w:cs="Arial" w:eastAsia="Arial" w:hAnsi="Arial"/>
          <w:sz w:val="17"/>
          <w:szCs w:val="17"/>
          <w:color w:val="auto"/>
        </w:rPr>
        <w:t>. If the indemnification provided for in Section 9 is for any reason held to be unavailable to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8" w:name="page89"/>
    <w:bookmarkEnd w:id="88"/>
    <w:p>
      <w:pPr>
        <w:ind w:right="40" w:firstLine="648"/>
        <w:spacing w:after="0" w:line="275"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Section 9(c), any reasonable and documented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additional notice shall be required with respect to any action for which notice has been given under Section 9(c) for purposes of indemnification.</w:t>
      </w:r>
    </w:p>
    <w:p>
      <w:pPr>
        <w:spacing w:after="0" w:line="17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8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77" w:lineRule="exact"/>
        <w:rPr>
          <w:sz w:val="20"/>
          <w:szCs w:val="20"/>
          <w:color w:val="auto"/>
        </w:rPr>
      </w:pPr>
    </w:p>
    <w:p>
      <w:pPr>
        <w:ind w:right="20" w:firstLine="1296"/>
        <w:spacing w:after="0" w:line="286" w:lineRule="auto"/>
        <w:rPr>
          <w:sz w:val="20"/>
          <w:szCs w:val="20"/>
          <w:color w:val="auto"/>
        </w:rPr>
      </w:pPr>
      <w:r>
        <w:rPr>
          <w:rFonts w:ascii="Arial" w:cs="Arial" w:eastAsia="Arial" w:hAnsi="Arial"/>
          <w:sz w:val="16"/>
          <w:szCs w:val="16"/>
          <w:b w:val="1"/>
          <w:bCs w:val="1"/>
          <w:color w:val="auto"/>
        </w:rPr>
        <w:t>Section 11. Default of One or More of the Several Underwriters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on the First Closing Date or any Option Closing Date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one or 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(other than the breaching Underwriter or Underwriters)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ind w:right="80" w:firstLine="648"/>
        <w:spacing w:after="0" w:line="266"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76"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b w:val="1"/>
          <w:bCs w:val="1"/>
          <w:color w:val="auto"/>
        </w:rPr>
        <w:t>Section 12. Termination of this Agreement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purchase of the Firm Shares by the Underwriters on the First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this Agreement may be terminated by the Representatives by notice given to the Company if at any time: (i) trading or quotation in any of the Company’s securities shall have been suspended or limited by the Commission or by the Nasdaq, or trading in securities generally on either the Nasdaq or the New York Stock Exchange shall have been suspended or limited, or minimum or maximum prices shall have been generally established on any of such stock exchanges; (ii) a general banking moratorium shall have been declared by any of federal, New York, or Pennsylvania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provisions of Section 9 and Section 10 shall at all times be effective and shall survive such termination.</w:t>
      </w:r>
    </w:p>
    <w:p>
      <w:pPr>
        <w:spacing w:after="0" w:line="167"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b w:val="1"/>
          <w:bCs w:val="1"/>
          <w:color w:val="auto"/>
        </w:rPr>
        <w:t xml:space="preserve">Section 13. No Advisory or Fiduciary Relationship. </w:t>
      </w:r>
      <w:r>
        <w:rPr>
          <w:rFonts w:ascii="Arial" w:cs="Arial" w:eastAsia="Arial" w:hAnsi="Arial"/>
          <w:sz w:val="17"/>
          <w:szCs w:val="17"/>
          <w:color w:val="auto"/>
        </w:rPr>
        <w:t>The Company acknowledges and agrees that (a) the purchase and sale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0" w:name="page91"/>
    <w:bookmarkEnd w:id="90"/>
    <w:p>
      <w:pPr>
        <w:ind w:firstLine="1296"/>
        <w:spacing w:after="0" w:line="258" w:lineRule="auto"/>
        <w:rPr>
          <w:sz w:val="20"/>
          <w:szCs w:val="20"/>
          <w:color w:val="auto"/>
        </w:rPr>
      </w:pPr>
      <w:r>
        <w:rPr>
          <w:rFonts w:ascii="Arial" w:cs="Arial" w:eastAsia="Arial" w:hAnsi="Arial"/>
          <w:sz w:val="18"/>
          <w:szCs w:val="18"/>
          <w:b w:val="1"/>
          <w:bCs w:val="1"/>
          <w:color w:val="auto"/>
        </w:rPr>
        <w:t>Section 14. Representations and Indemnities to Survive Delivery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respective indemnities, agreements,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183" w:lineRule="exact"/>
        <w:rPr>
          <w:sz w:val="20"/>
          <w:szCs w:val="20"/>
          <w:color w:val="auto"/>
        </w:rPr>
      </w:pPr>
    </w:p>
    <w:p>
      <w:pPr>
        <w:ind w:right="200" w:firstLine="1296"/>
        <w:spacing w:after="0" w:line="282" w:lineRule="auto"/>
        <w:rPr>
          <w:sz w:val="20"/>
          <w:szCs w:val="20"/>
          <w:color w:val="auto"/>
        </w:rPr>
      </w:pPr>
      <w:r>
        <w:rPr>
          <w:rFonts w:ascii="Arial" w:cs="Arial" w:eastAsia="Arial" w:hAnsi="Arial"/>
          <w:sz w:val="18"/>
          <w:szCs w:val="18"/>
          <w:b w:val="1"/>
          <w:bCs w:val="1"/>
          <w:color w:val="auto"/>
        </w:rPr>
        <w:t>Section 15. Notices</w:t>
      </w:r>
      <w:r>
        <w:rPr>
          <w:rFonts w:ascii="Arial" w:cs="Arial" w:eastAsia="Arial" w:hAnsi="Arial"/>
          <w:sz w:val="18"/>
          <w:szCs w:val="18"/>
          <w:color w:val="auto"/>
        </w:rPr>
        <w:t>. All communications hereunder shall be in writing and shall be mailed, hand delivered or telecopied and</w:t>
      </w:r>
      <w:r>
        <w:rPr>
          <w:rFonts w:ascii="Arial" w:cs="Arial" w:eastAsia="Arial" w:hAnsi="Arial"/>
          <w:sz w:val="18"/>
          <w:szCs w:val="18"/>
          <w:b w:val="1"/>
          <w:bCs w:val="1"/>
          <w:color w:val="auto"/>
        </w:rPr>
        <w:t xml:space="preserve"> </w:t>
      </w:r>
      <w:r>
        <w:rPr>
          <w:rFonts w:ascii="Arial" w:cs="Arial" w:eastAsia="Arial" w:hAnsi="Arial"/>
          <w:sz w:val="18"/>
          <w:szCs w:val="18"/>
          <w:color w:val="auto"/>
        </w:rPr>
        <w:t>confirmed to the parties hereto as follows:</w:t>
      </w:r>
    </w:p>
    <w:p>
      <w:pPr>
        <w:spacing w:after="0" w:line="382"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2600" w:type="dxa"/>
            <w:vAlign w:val="bottom"/>
          </w:tcPr>
          <w:p>
            <w:pPr>
              <w:jc w:val="center"/>
              <w:ind w:right="710"/>
              <w:spacing w:after="0"/>
              <w:rPr>
                <w:sz w:val="20"/>
                <w:szCs w:val="20"/>
                <w:color w:val="auto"/>
              </w:rPr>
            </w:pPr>
            <w:r>
              <w:rPr>
                <w:rFonts w:ascii="Arial" w:cs="Arial" w:eastAsia="Arial" w:hAnsi="Arial"/>
                <w:sz w:val="18"/>
                <w:szCs w:val="18"/>
                <w:color w:val="auto"/>
                <w:w w:val="89"/>
              </w:rPr>
              <w:t>If to the Representatives:</w:t>
            </w:r>
          </w:p>
        </w:tc>
        <w:tc>
          <w:tcPr>
            <w:tcW w:w="4580" w:type="dxa"/>
            <w:vAlign w:val="bottom"/>
          </w:tcPr>
          <w:p>
            <w:pPr>
              <w:ind w:left="780"/>
              <w:spacing w:after="0"/>
              <w:rPr>
                <w:sz w:val="20"/>
                <w:szCs w:val="20"/>
                <w:color w:val="auto"/>
              </w:rPr>
            </w:pPr>
            <w:r>
              <w:rPr>
                <w:rFonts w:ascii="Arial" w:cs="Arial" w:eastAsia="Arial" w:hAnsi="Arial"/>
                <w:sz w:val="18"/>
                <w:szCs w:val="18"/>
                <w:color w:val="auto"/>
              </w:rPr>
              <w:t>Jefferies LLC</w:t>
            </w:r>
          </w:p>
        </w:tc>
      </w:tr>
      <w:tr>
        <w:trPr>
          <w:trHeight w:val="216"/>
        </w:trPr>
        <w:tc>
          <w:tcPr>
            <w:tcW w:w="2600" w:type="dxa"/>
            <w:vAlign w:val="bottom"/>
          </w:tcPr>
          <w:p>
            <w:pPr>
              <w:spacing w:after="0"/>
              <w:rPr>
                <w:sz w:val="18"/>
                <w:szCs w:val="18"/>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520 Madison Avenue</w:t>
            </w:r>
          </w:p>
        </w:tc>
      </w:tr>
      <w:tr>
        <w:trPr>
          <w:trHeight w:val="216"/>
        </w:trPr>
        <w:tc>
          <w:tcPr>
            <w:tcW w:w="2600" w:type="dxa"/>
            <w:vAlign w:val="bottom"/>
          </w:tcPr>
          <w:p>
            <w:pPr>
              <w:spacing w:after="0"/>
              <w:rPr>
                <w:sz w:val="18"/>
                <w:szCs w:val="18"/>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New York, New York 10022</w:t>
            </w:r>
          </w:p>
        </w:tc>
      </w:tr>
      <w:tr>
        <w:trPr>
          <w:trHeight w:val="216"/>
        </w:trPr>
        <w:tc>
          <w:tcPr>
            <w:tcW w:w="2600" w:type="dxa"/>
            <w:vAlign w:val="bottom"/>
          </w:tcPr>
          <w:p>
            <w:pPr>
              <w:spacing w:after="0"/>
              <w:rPr>
                <w:sz w:val="18"/>
                <w:szCs w:val="18"/>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Facsimile: (646) 619-4437</w:t>
            </w:r>
          </w:p>
        </w:tc>
      </w:tr>
      <w:tr>
        <w:trPr>
          <w:trHeight w:val="230"/>
        </w:trPr>
        <w:tc>
          <w:tcPr>
            <w:tcW w:w="2600" w:type="dxa"/>
            <w:vAlign w:val="bottom"/>
          </w:tcPr>
          <w:p>
            <w:pPr>
              <w:spacing w:after="0"/>
              <w:rPr>
                <w:sz w:val="20"/>
                <w:szCs w:val="20"/>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Attention: General Counsel</w:t>
            </w:r>
          </w:p>
        </w:tc>
      </w:tr>
      <w:tr>
        <w:trPr>
          <w:trHeight w:val="634"/>
        </w:trPr>
        <w:tc>
          <w:tcPr>
            <w:tcW w:w="2600" w:type="dxa"/>
            <w:vAlign w:val="bottom"/>
          </w:tcPr>
          <w:p>
            <w:pPr>
              <w:spacing w:after="0"/>
              <w:rPr>
                <w:sz w:val="24"/>
                <w:szCs w:val="24"/>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Piper Sandler &amp; Co.</w:t>
            </w:r>
          </w:p>
        </w:tc>
      </w:tr>
      <w:tr>
        <w:trPr>
          <w:trHeight w:val="216"/>
        </w:trPr>
        <w:tc>
          <w:tcPr>
            <w:tcW w:w="2600" w:type="dxa"/>
            <w:vAlign w:val="bottom"/>
          </w:tcPr>
          <w:p>
            <w:pPr>
              <w:spacing w:after="0"/>
              <w:rPr>
                <w:sz w:val="18"/>
                <w:szCs w:val="18"/>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800 Nicollet Mall</w:t>
            </w:r>
          </w:p>
        </w:tc>
      </w:tr>
      <w:tr>
        <w:trPr>
          <w:trHeight w:val="216"/>
        </w:trPr>
        <w:tc>
          <w:tcPr>
            <w:tcW w:w="2600" w:type="dxa"/>
            <w:vAlign w:val="bottom"/>
          </w:tcPr>
          <w:p>
            <w:pPr>
              <w:spacing w:after="0"/>
              <w:rPr>
                <w:sz w:val="18"/>
                <w:szCs w:val="18"/>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Minneapolis, MN 55402</w:t>
            </w:r>
          </w:p>
        </w:tc>
      </w:tr>
      <w:tr>
        <w:trPr>
          <w:trHeight w:val="230"/>
        </w:trPr>
        <w:tc>
          <w:tcPr>
            <w:tcW w:w="2600" w:type="dxa"/>
            <w:vAlign w:val="bottom"/>
          </w:tcPr>
          <w:p>
            <w:pPr>
              <w:spacing w:after="0"/>
              <w:rPr>
                <w:sz w:val="20"/>
                <w:szCs w:val="20"/>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Attention: Legal Department</w:t>
            </w:r>
          </w:p>
        </w:tc>
      </w:tr>
      <w:tr>
        <w:trPr>
          <w:trHeight w:val="418"/>
        </w:trPr>
        <w:tc>
          <w:tcPr>
            <w:tcW w:w="2600" w:type="dxa"/>
            <w:vAlign w:val="bottom"/>
          </w:tcPr>
          <w:p>
            <w:pPr>
              <w:jc w:val="center"/>
              <w:ind w:right="690"/>
              <w:spacing w:after="0"/>
              <w:rPr>
                <w:sz w:val="20"/>
                <w:szCs w:val="20"/>
                <w:color w:val="auto"/>
              </w:rPr>
            </w:pPr>
            <w:r>
              <w:rPr>
                <w:rFonts w:ascii="Arial" w:cs="Arial" w:eastAsia="Arial" w:hAnsi="Arial"/>
                <w:sz w:val="18"/>
                <w:szCs w:val="18"/>
                <w:color w:val="auto"/>
                <w:w w:val="92"/>
              </w:rPr>
              <w:t>with a copy to:</w:t>
            </w:r>
          </w:p>
        </w:tc>
        <w:tc>
          <w:tcPr>
            <w:tcW w:w="4580" w:type="dxa"/>
            <w:vAlign w:val="bottom"/>
          </w:tcPr>
          <w:p>
            <w:pPr>
              <w:ind w:left="780"/>
              <w:spacing w:after="0"/>
              <w:rPr>
                <w:sz w:val="20"/>
                <w:szCs w:val="20"/>
                <w:color w:val="auto"/>
              </w:rPr>
            </w:pPr>
            <w:r>
              <w:rPr>
                <w:rFonts w:ascii="Arial" w:cs="Arial" w:eastAsia="Arial" w:hAnsi="Arial"/>
                <w:sz w:val="18"/>
                <w:szCs w:val="18"/>
                <w:color w:val="auto"/>
              </w:rPr>
              <w:t>Latham &amp; Watkins LLP</w:t>
            </w:r>
          </w:p>
        </w:tc>
      </w:tr>
      <w:tr>
        <w:trPr>
          <w:trHeight w:val="216"/>
        </w:trPr>
        <w:tc>
          <w:tcPr>
            <w:tcW w:w="2600" w:type="dxa"/>
            <w:vAlign w:val="bottom"/>
          </w:tcPr>
          <w:p>
            <w:pPr>
              <w:spacing w:after="0"/>
              <w:rPr>
                <w:sz w:val="18"/>
                <w:szCs w:val="18"/>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885 3rd Avenue</w:t>
            </w:r>
          </w:p>
        </w:tc>
      </w:tr>
      <w:tr>
        <w:trPr>
          <w:trHeight w:val="216"/>
        </w:trPr>
        <w:tc>
          <w:tcPr>
            <w:tcW w:w="2600" w:type="dxa"/>
            <w:vAlign w:val="bottom"/>
          </w:tcPr>
          <w:p>
            <w:pPr>
              <w:spacing w:after="0"/>
              <w:rPr>
                <w:sz w:val="18"/>
                <w:szCs w:val="18"/>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New York, New York 10022</w:t>
            </w:r>
          </w:p>
        </w:tc>
      </w:tr>
      <w:tr>
        <w:trPr>
          <w:trHeight w:val="216"/>
        </w:trPr>
        <w:tc>
          <w:tcPr>
            <w:tcW w:w="2600" w:type="dxa"/>
            <w:vAlign w:val="bottom"/>
          </w:tcPr>
          <w:p>
            <w:pPr>
              <w:spacing w:after="0"/>
              <w:rPr>
                <w:sz w:val="18"/>
                <w:szCs w:val="18"/>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Facsimile: (212) 751-4864</w:t>
            </w:r>
          </w:p>
        </w:tc>
      </w:tr>
      <w:tr>
        <w:trPr>
          <w:trHeight w:val="230"/>
        </w:trPr>
        <w:tc>
          <w:tcPr>
            <w:tcW w:w="2600" w:type="dxa"/>
            <w:vAlign w:val="bottom"/>
          </w:tcPr>
          <w:p>
            <w:pPr>
              <w:spacing w:after="0"/>
              <w:rPr>
                <w:sz w:val="20"/>
                <w:szCs w:val="20"/>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Attention: Nathan Ajiashvili</w:t>
            </w:r>
          </w:p>
        </w:tc>
      </w:tr>
      <w:tr>
        <w:trPr>
          <w:trHeight w:val="418"/>
        </w:trPr>
        <w:tc>
          <w:tcPr>
            <w:tcW w:w="2600" w:type="dxa"/>
            <w:vAlign w:val="bottom"/>
          </w:tcPr>
          <w:p>
            <w:pPr>
              <w:jc w:val="center"/>
              <w:ind w:right="710"/>
              <w:spacing w:after="0"/>
              <w:rPr>
                <w:sz w:val="20"/>
                <w:szCs w:val="20"/>
                <w:color w:val="auto"/>
              </w:rPr>
            </w:pPr>
            <w:r>
              <w:rPr>
                <w:rFonts w:ascii="Arial" w:cs="Arial" w:eastAsia="Arial" w:hAnsi="Arial"/>
                <w:sz w:val="18"/>
                <w:szCs w:val="18"/>
                <w:color w:val="auto"/>
                <w:w w:val="92"/>
              </w:rPr>
              <w:t>If to the Company:</w:t>
            </w:r>
          </w:p>
        </w:tc>
        <w:tc>
          <w:tcPr>
            <w:tcW w:w="4580" w:type="dxa"/>
            <w:vAlign w:val="bottom"/>
          </w:tcPr>
          <w:p>
            <w:pPr>
              <w:ind w:left="780"/>
              <w:spacing w:after="0"/>
              <w:rPr>
                <w:sz w:val="20"/>
                <w:szCs w:val="20"/>
                <w:color w:val="auto"/>
              </w:rPr>
            </w:pPr>
            <w:r>
              <w:rPr>
                <w:rFonts w:ascii="Arial" w:cs="Arial" w:eastAsia="Arial" w:hAnsi="Arial"/>
                <w:sz w:val="18"/>
                <w:szCs w:val="18"/>
                <w:color w:val="auto"/>
              </w:rPr>
              <w:t>TELA Bio, Inc.</w:t>
            </w:r>
          </w:p>
        </w:tc>
      </w:tr>
      <w:tr>
        <w:trPr>
          <w:trHeight w:val="216"/>
        </w:trPr>
        <w:tc>
          <w:tcPr>
            <w:tcW w:w="2600" w:type="dxa"/>
            <w:vAlign w:val="bottom"/>
          </w:tcPr>
          <w:p>
            <w:pPr>
              <w:spacing w:after="0"/>
              <w:rPr>
                <w:sz w:val="18"/>
                <w:szCs w:val="18"/>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1 Great Valley Parkway, Suite 24</w:t>
            </w:r>
          </w:p>
        </w:tc>
      </w:tr>
      <w:tr>
        <w:trPr>
          <w:trHeight w:val="216"/>
        </w:trPr>
        <w:tc>
          <w:tcPr>
            <w:tcW w:w="2600" w:type="dxa"/>
            <w:vAlign w:val="bottom"/>
          </w:tcPr>
          <w:p>
            <w:pPr>
              <w:spacing w:after="0"/>
              <w:rPr>
                <w:sz w:val="18"/>
                <w:szCs w:val="18"/>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Malvern, Pennsylvania 19355</w:t>
            </w:r>
          </w:p>
        </w:tc>
      </w:tr>
      <w:tr>
        <w:trPr>
          <w:trHeight w:val="216"/>
        </w:trPr>
        <w:tc>
          <w:tcPr>
            <w:tcW w:w="2600" w:type="dxa"/>
            <w:vAlign w:val="bottom"/>
          </w:tcPr>
          <w:p>
            <w:pPr>
              <w:spacing w:after="0"/>
              <w:rPr>
                <w:sz w:val="18"/>
                <w:szCs w:val="18"/>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Facsimile: (610) 644-3769</w:t>
            </w:r>
          </w:p>
        </w:tc>
      </w:tr>
      <w:tr>
        <w:trPr>
          <w:trHeight w:val="230"/>
        </w:trPr>
        <w:tc>
          <w:tcPr>
            <w:tcW w:w="2600" w:type="dxa"/>
            <w:vAlign w:val="bottom"/>
          </w:tcPr>
          <w:p>
            <w:pPr>
              <w:spacing w:after="0"/>
              <w:rPr>
                <w:sz w:val="20"/>
                <w:szCs w:val="20"/>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Attention: Chief Executive Officer</w:t>
            </w:r>
          </w:p>
        </w:tc>
      </w:tr>
      <w:tr>
        <w:trPr>
          <w:trHeight w:val="418"/>
        </w:trPr>
        <w:tc>
          <w:tcPr>
            <w:tcW w:w="2600" w:type="dxa"/>
            <w:vAlign w:val="bottom"/>
          </w:tcPr>
          <w:p>
            <w:pPr>
              <w:jc w:val="center"/>
              <w:ind w:right="690"/>
              <w:spacing w:after="0"/>
              <w:rPr>
                <w:sz w:val="20"/>
                <w:szCs w:val="20"/>
                <w:color w:val="auto"/>
              </w:rPr>
            </w:pPr>
            <w:r>
              <w:rPr>
                <w:rFonts w:ascii="Arial" w:cs="Arial" w:eastAsia="Arial" w:hAnsi="Arial"/>
                <w:sz w:val="18"/>
                <w:szCs w:val="18"/>
                <w:color w:val="auto"/>
                <w:w w:val="92"/>
              </w:rPr>
              <w:t>with a copy to:</w:t>
            </w:r>
          </w:p>
        </w:tc>
        <w:tc>
          <w:tcPr>
            <w:tcW w:w="4580" w:type="dxa"/>
            <w:vAlign w:val="bottom"/>
          </w:tcPr>
          <w:p>
            <w:pPr>
              <w:ind w:left="780"/>
              <w:spacing w:after="0"/>
              <w:rPr>
                <w:sz w:val="20"/>
                <w:szCs w:val="20"/>
                <w:color w:val="auto"/>
              </w:rPr>
            </w:pPr>
            <w:r>
              <w:rPr>
                <w:rFonts w:ascii="Arial" w:cs="Arial" w:eastAsia="Arial" w:hAnsi="Arial"/>
                <w:sz w:val="18"/>
                <w:szCs w:val="18"/>
                <w:color w:val="auto"/>
              </w:rPr>
              <w:t>Pepper Hamilton LLP</w:t>
            </w:r>
          </w:p>
        </w:tc>
      </w:tr>
      <w:tr>
        <w:trPr>
          <w:trHeight w:val="216"/>
        </w:trPr>
        <w:tc>
          <w:tcPr>
            <w:tcW w:w="2600" w:type="dxa"/>
            <w:vAlign w:val="bottom"/>
          </w:tcPr>
          <w:p>
            <w:pPr>
              <w:spacing w:after="0"/>
              <w:rPr>
                <w:sz w:val="18"/>
                <w:szCs w:val="18"/>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2 Logan Square, Suite 3000</w:t>
            </w:r>
          </w:p>
        </w:tc>
      </w:tr>
      <w:tr>
        <w:trPr>
          <w:trHeight w:val="216"/>
        </w:trPr>
        <w:tc>
          <w:tcPr>
            <w:tcW w:w="2600" w:type="dxa"/>
            <w:vAlign w:val="bottom"/>
          </w:tcPr>
          <w:p>
            <w:pPr>
              <w:spacing w:after="0"/>
              <w:rPr>
                <w:sz w:val="18"/>
                <w:szCs w:val="18"/>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Philadelphia, Pennsylvania 19103</w:t>
            </w:r>
          </w:p>
        </w:tc>
      </w:tr>
      <w:tr>
        <w:trPr>
          <w:trHeight w:val="216"/>
        </w:trPr>
        <w:tc>
          <w:tcPr>
            <w:tcW w:w="2600" w:type="dxa"/>
            <w:vAlign w:val="bottom"/>
          </w:tcPr>
          <w:p>
            <w:pPr>
              <w:spacing w:after="0"/>
              <w:rPr>
                <w:sz w:val="18"/>
                <w:szCs w:val="18"/>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rPr>
              <w:t>Facsimile: (215) 981-4750</w:t>
            </w:r>
          </w:p>
        </w:tc>
      </w:tr>
      <w:tr>
        <w:trPr>
          <w:trHeight w:val="230"/>
        </w:trPr>
        <w:tc>
          <w:tcPr>
            <w:tcW w:w="2600" w:type="dxa"/>
            <w:vAlign w:val="bottom"/>
          </w:tcPr>
          <w:p>
            <w:pPr>
              <w:spacing w:after="0"/>
              <w:rPr>
                <w:sz w:val="20"/>
                <w:szCs w:val="20"/>
                <w:color w:val="auto"/>
              </w:rPr>
            </w:pPr>
          </w:p>
        </w:tc>
        <w:tc>
          <w:tcPr>
            <w:tcW w:w="4580" w:type="dxa"/>
            <w:vAlign w:val="bottom"/>
          </w:tcPr>
          <w:p>
            <w:pPr>
              <w:ind w:left="780"/>
              <w:spacing w:after="0"/>
              <w:rPr>
                <w:sz w:val="20"/>
                <w:szCs w:val="20"/>
                <w:color w:val="auto"/>
              </w:rPr>
            </w:pPr>
            <w:r>
              <w:rPr>
                <w:rFonts w:ascii="Arial" w:cs="Arial" w:eastAsia="Arial" w:hAnsi="Arial"/>
                <w:sz w:val="18"/>
                <w:szCs w:val="18"/>
                <w:color w:val="auto"/>
                <w:w w:val="91"/>
              </w:rPr>
              <w:t>Attention: Rachael M. Bushey and Jennifer L. Porter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91" w:name="page92"/>
    <w:bookmarkEnd w:id="91"/>
    <w:p>
      <w:pPr>
        <w:ind w:right="220" w:firstLine="1296"/>
        <w:spacing w:after="0" w:line="303" w:lineRule="auto"/>
        <w:rPr>
          <w:sz w:val="20"/>
          <w:szCs w:val="20"/>
          <w:color w:val="auto"/>
        </w:rPr>
      </w:pPr>
      <w:r>
        <w:rPr>
          <w:rFonts w:ascii="Arial" w:cs="Arial" w:eastAsia="Arial" w:hAnsi="Arial"/>
          <w:sz w:val="16"/>
          <w:szCs w:val="16"/>
          <w:b w:val="1"/>
          <w:bCs w:val="1"/>
          <w:color w:val="auto"/>
        </w:rPr>
        <w:t>Section 16. Successors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will inure to the benefit of and be binding upon the parties hereto, including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substitute Underwriters pursuant to Section 11 hereof, and to the benefit of the affiliates, directors, officers, employees, agents and controlling persons referred to in Section 9 and Section 10, and in each case their respective successors, and no other person will have any right or obligation hereunder. The term “</w:t>
      </w:r>
      <w:r>
        <w:rPr>
          <w:rFonts w:ascii="Arial" w:cs="Arial" w:eastAsia="Arial" w:hAnsi="Arial"/>
          <w:sz w:val="16"/>
          <w:szCs w:val="16"/>
          <w:b w:val="1"/>
          <w:bCs w:val="1"/>
          <w:color w:val="auto"/>
        </w:rPr>
        <w:t>successors</w:t>
      </w:r>
      <w:r>
        <w:rPr>
          <w:rFonts w:ascii="Arial" w:cs="Arial" w:eastAsia="Arial" w:hAnsi="Arial"/>
          <w:sz w:val="16"/>
          <w:szCs w:val="16"/>
          <w:color w:val="auto"/>
        </w:rPr>
        <w:t>” shall not include any purchaser of the Offered Shares as such from any of the Underwriters merely by reason of such purchase.</w:t>
      </w:r>
    </w:p>
    <w:p>
      <w:pPr>
        <w:spacing w:after="0" w:line="151" w:lineRule="exact"/>
        <w:rPr>
          <w:sz w:val="20"/>
          <w:szCs w:val="20"/>
          <w:color w:val="auto"/>
        </w:rPr>
      </w:pPr>
    </w:p>
    <w:p>
      <w:pPr>
        <w:ind w:right="200" w:firstLine="1296"/>
        <w:spacing w:after="0" w:line="261" w:lineRule="auto"/>
        <w:rPr>
          <w:sz w:val="20"/>
          <w:szCs w:val="20"/>
          <w:color w:val="auto"/>
        </w:rPr>
      </w:pPr>
      <w:r>
        <w:rPr>
          <w:rFonts w:ascii="Arial" w:cs="Arial" w:eastAsia="Arial" w:hAnsi="Arial"/>
          <w:sz w:val="18"/>
          <w:szCs w:val="18"/>
          <w:b w:val="1"/>
          <w:bCs w:val="1"/>
          <w:color w:val="auto"/>
        </w:rPr>
        <w:t>Section 17. Partial Unenforceability</w:t>
      </w:r>
      <w:r>
        <w:rPr>
          <w:rFonts w:ascii="Arial" w:cs="Arial" w:eastAsia="Arial" w:hAnsi="Arial"/>
          <w:sz w:val="18"/>
          <w:szCs w:val="18"/>
          <w:color w:val="auto"/>
        </w:rPr>
        <w:t>. The invalidity or unenforceability of any section, paragraph or provision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ind w:left="1300"/>
        <w:spacing w:after="0"/>
        <w:tabs>
          <w:tab w:leader="none" w:pos="284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5"/>
          <w:szCs w:val="15"/>
          <w:b w:val="1"/>
          <w:bCs w:val="1"/>
          <w:color w:val="auto"/>
        </w:rPr>
        <w:t>Recognition of the U.S. Special Resolution Regimes.</w:t>
      </w:r>
    </w:p>
    <w:p>
      <w:pPr>
        <w:spacing w:after="0" w:line="229" w:lineRule="exact"/>
        <w:rPr>
          <w:sz w:val="20"/>
          <w:szCs w:val="20"/>
          <w:color w:val="auto"/>
        </w:rPr>
      </w:pPr>
    </w:p>
    <w:p>
      <w:pPr>
        <w:jc w:val="both"/>
        <w:ind w:firstLine="656"/>
        <w:spacing w:after="0" w:line="259" w:lineRule="auto"/>
        <w:tabs>
          <w:tab w:leader="none" w:pos="1163"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right="160" w:firstLine="656"/>
        <w:spacing w:after="0" w:line="259" w:lineRule="auto"/>
        <w:tabs>
          <w:tab w:leader="none" w:pos="1173"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For purposes of this Agreement,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(B)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and (D) “U</w:t>
      </w:r>
      <w:r>
        <w:rPr>
          <w:rFonts w:ascii="Arial" w:cs="Arial" w:eastAsia="Arial" w:hAnsi="Arial"/>
          <w:sz w:val="17"/>
          <w:szCs w:val="17"/>
          <w:b w:val="1"/>
          <w:bCs w:val="1"/>
          <w:color w:val="auto"/>
        </w:rPr>
        <w:t>.S.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2" w:lineRule="exact"/>
        <w:rPr>
          <w:sz w:val="20"/>
          <w:szCs w:val="20"/>
          <w:color w:val="auto"/>
        </w:rPr>
      </w:pPr>
    </w:p>
    <w:p>
      <w:pPr>
        <w:ind w:right="20" w:firstLine="1296"/>
        <w:spacing w:after="0" w:line="253" w:lineRule="auto"/>
        <w:rPr>
          <w:sz w:val="20"/>
          <w:szCs w:val="20"/>
          <w:color w:val="auto"/>
        </w:rPr>
      </w:pPr>
      <w:r>
        <w:rPr>
          <w:rFonts w:ascii="Arial" w:cs="Arial" w:eastAsia="Arial" w:hAnsi="Arial"/>
          <w:sz w:val="18"/>
          <w:szCs w:val="18"/>
          <w:b w:val="1"/>
          <w:bCs w:val="1"/>
          <w:color w:val="auto"/>
        </w:rPr>
        <w:t>Section 19. Governing Law Provisions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8"/>
          <w:szCs w:val="18"/>
          <w:b w:val="1"/>
          <w:bCs w:val="1"/>
          <w:color w:val="auto"/>
        </w:rPr>
        <w:t>Related Proceedings</w:t>
      </w:r>
      <w:r>
        <w:rPr>
          <w:rFonts w:ascii="Arial" w:cs="Arial" w:eastAsia="Arial" w:hAnsi="Arial"/>
          <w:sz w:val="18"/>
          <w:szCs w:val="18"/>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8"/>
          <w:szCs w:val="18"/>
          <w:b w:val="1"/>
          <w:bCs w:val="1"/>
          <w:color w:val="auto"/>
        </w:rPr>
        <w:t>Specified Courts</w:t>
      </w:r>
      <w:r>
        <w:rPr>
          <w:rFonts w:ascii="Arial" w:cs="Arial" w:eastAsia="Arial" w:hAnsi="Arial"/>
          <w:sz w:val="18"/>
          <w:szCs w:val="18"/>
          <w:color w:val="auto"/>
        </w:rPr>
        <w:t>”), and each party irrevocably submits to the exclusive jurisdiction (except for proceedings instituted in regard to the enforcement of a judgment of any such court (a “</w:t>
      </w:r>
      <w:r>
        <w:rPr>
          <w:rFonts w:ascii="Arial" w:cs="Arial" w:eastAsia="Arial" w:hAnsi="Arial"/>
          <w:sz w:val="18"/>
          <w:szCs w:val="18"/>
          <w:b w:val="1"/>
          <w:bCs w:val="1"/>
          <w:color w:val="auto"/>
        </w:rPr>
        <w:t>Related Judgment</w:t>
      </w:r>
      <w:r>
        <w:rPr>
          <w:rFonts w:ascii="Arial" w:cs="Arial" w:eastAsia="Arial" w:hAnsi="Arial"/>
          <w:sz w:val="18"/>
          <w:szCs w:val="18"/>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2" w:name="page93"/>
    <w:bookmarkEnd w:id="92"/>
    <w:p>
      <w:pPr>
        <w:ind w:right="100" w:firstLine="1296"/>
        <w:spacing w:after="0" w:line="294" w:lineRule="auto"/>
        <w:rPr>
          <w:sz w:val="20"/>
          <w:szCs w:val="20"/>
          <w:color w:val="auto"/>
        </w:rPr>
      </w:pPr>
      <w:r>
        <w:rPr>
          <w:rFonts w:ascii="Arial" w:cs="Arial" w:eastAsia="Arial" w:hAnsi="Arial"/>
          <w:sz w:val="16"/>
          <w:szCs w:val="16"/>
          <w:b w:val="1"/>
          <w:bCs w:val="1"/>
          <w:color w:val="auto"/>
        </w:rPr>
        <w:t xml:space="preserve">Section 20. General Provisions. </w:t>
      </w:r>
      <w:r>
        <w:rPr>
          <w:rFonts w:ascii="Arial" w:cs="Arial" w:eastAsia="Arial" w:hAnsi="Arial"/>
          <w:sz w:val="16"/>
          <w:szCs w:val="16"/>
          <w:color w:val="auto"/>
        </w:rPr>
        <w:t>This Agreement constitutes the entire agreement of the parties to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6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16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Pages Follow</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firstLine="648"/>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TELA BIO,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[Signature Page to TELA Bio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1124" w:right="659" w:bottom="1440" w:gutter="0" w:footer="0" w:header="0"/>
        </w:sectPr>
      </w:pPr>
    </w:p>
    <w:bookmarkStart w:id="94" w:name="page95"/>
    <w:bookmarkEnd w:id="94"/>
    <w:p>
      <w:pPr>
        <w:ind w:firstLine="1620"/>
        <w:spacing w:after="0" w:line="277" w:lineRule="auto"/>
        <w:rPr>
          <w:sz w:val="20"/>
          <w:szCs w:val="20"/>
          <w:color w:val="auto"/>
        </w:rPr>
      </w:pPr>
      <w:r>
        <w:rPr>
          <w:rFonts w:ascii="Arial" w:cs="Arial" w:eastAsia="Arial" w:hAnsi="Arial"/>
          <w:sz w:val="18"/>
          <w:szCs w:val="18"/>
          <w:color w:val="auto"/>
        </w:rPr>
        <w:t>The foregoing Underwriting Agreement is hereby confirmed and accepted by the Representatives in New York, New York as of the date first above written.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PIPER SANDLER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individually and as Representatives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TELA Bio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PIPER SANDLER &amp; 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2479"/>
        <w:spacing w:after="0"/>
        <w:rPr>
          <w:sz w:val="20"/>
          <w:szCs w:val="20"/>
          <w:color w:val="auto"/>
        </w:rPr>
      </w:pPr>
      <w:r>
        <w:rPr>
          <w:rFonts w:ascii="Arial" w:cs="Arial" w:eastAsia="Arial" w:hAnsi="Arial"/>
          <w:sz w:val="18"/>
          <w:szCs w:val="18"/>
          <w:color w:val="auto"/>
        </w:rPr>
        <w:t>[Signature Page to TELA Bio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260"/>
              <w:spacing w:after="0"/>
              <w:rPr>
                <w:sz w:val="20"/>
                <w:szCs w:val="20"/>
                <w:color w:val="auto"/>
              </w:rPr>
            </w:pPr>
            <w:r>
              <w:rPr>
                <w:rFonts w:ascii="Arial" w:cs="Arial" w:eastAsia="Arial" w:hAnsi="Arial"/>
                <w:sz w:val="18"/>
                <w:szCs w:val="18"/>
                <w:b w:val="1"/>
                <w:bCs w:val="1"/>
                <w:color w:val="auto"/>
                <w:w w:val="85"/>
              </w:rPr>
              <w:t>Schedule A</w:t>
            </w:r>
          </w:p>
        </w:tc>
      </w:tr>
      <w:tr>
        <w:trPr>
          <w:trHeight w:val="414"/>
        </w:trPr>
        <w:tc>
          <w:tcPr>
            <w:tcW w:w="10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Firm Shares</w:t>
            </w: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3"/>
              </w:rPr>
              <w:t>to be</w:t>
            </w:r>
          </w:p>
        </w:tc>
      </w:tr>
      <w:tr>
        <w:trPr>
          <w:trHeight w:val="234"/>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Underwriters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r>
      <w:tr>
        <w:trPr>
          <w:trHeight w:val="209"/>
        </w:trPr>
        <w:tc>
          <w:tcPr>
            <w:tcW w:w="10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 ]</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Piper Sandler &amp; Co</w:t>
            </w:r>
          </w:p>
        </w:tc>
        <w:tc>
          <w:tcPr>
            <w:tcW w:w="1120" w:type="dxa"/>
            <w:vAlign w:val="bottom"/>
          </w:tcPr>
          <w:p>
            <w:pPr>
              <w:jc w:val="center"/>
              <w:spacing w:after="0"/>
              <w:rPr>
                <w:sz w:val="20"/>
                <w:szCs w:val="20"/>
                <w:color w:val="auto"/>
              </w:rPr>
            </w:pPr>
            <w:r>
              <w:rPr>
                <w:rFonts w:ascii="Arial" w:cs="Arial" w:eastAsia="Arial" w:hAnsi="Arial"/>
                <w:sz w:val="18"/>
                <w:szCs w:val="18"/>
                <w:color w:val="auto"/>
              </w:rPr>
              <w:t>[ • ]</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Canaccord Genuity LLC</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 ]</w:t>
            </w:r>
          </w:p>
        </w:tc>
      </w:tr>
      <w:tr>
        <w:trPr>
          <w:trHeight w:val="230"/>
        </w:trPr>
        <w:tc>
          <w:tcPr>
            <w:tcW w:w="10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JMP Securities LLC</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 ]</w:t>
            </w:r>
          </w:p>
        </w:tc>
      </w:tr>
      <w:tr>
        <w:trPr>
          <w:trHeight w:val="250"/>
        </w:trPr>
        <w:tc>
          <w:tcPr>
            <w:tcW w:w="10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 • ]</w:t>
            </w:r>
          </w:p>
        </w:tc>
      </w:tr>
      <w:tr>
        <w:trPr>
          <w:trHeight w:val="642"/>
        </w:trPr>
        <w:tc>
          <w:tcPr>
            <w:tcW w:w="10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u w:val="single" w:color="auto"/>
          <w:color w:val="auto"/>
        </w:rPr>
        <w:t>Free Writing Prospectuses Included in the Time of Sale Prospectus</w:t>
      </w:r>
    </w:p>
    <w:p>
      <w:pPr>
        <w:spacing w:after="0" w:line="248"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Schedule 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u w:val="single" w:color="auto"/>
          <w:color w:val="auto"/>
        </w:rPr>
        <w:t>Permitted Section 5(d) Communications</w:t>
      </w:r>
    </w:p>
    <w:p>
      <w:pPr>
        <w:spacing w:after="0" w:line="24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Presentation dated [ •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Piper Sandler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 Suite 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10154</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TELA Bio, Inc.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undersigned is an owner of shares of common stock, par value [ ● ] per share, of the Company (“</w:t>
      </w:r>
      <w:r>
        <w:rPr>
          <w:rFonts w:ascii="Arial" w:cs="Arial" w:eastAsia="Arial" w:hAnsi="Arial"/>
          <w:sz w:val="16"/>
          <w:szCs w:val="16"/>
          <w:b w:val="1"/>
          <w:bCs w:val="1"/>
          <w:color w:val="auto"/>
        </w:rPr>
        <w:t>Shares</w:t>
      </w:r>
      <w:r>
        <w:rPr>
          <w:rFonts w:ascii="Arial" w:cs="Arial" w:eastAsia="Arial" w:hAnsi="Arial"/>
          <w:sz w:val="16"/>
          <w:szCs w:val="16"/>
          <w:color w:val="auto"/>
        </w:rPr>
        <w:t>”) or of securities convertible into or exchangeable or exercisable for Shares. The Company proposes to conduct a public offering of Shares (the “</w:t>
      </w:r>
      <w:r>
        <w:rPr>
          <w:rFonts w:ascii="Arial" w:cs="Arial" w:eastAsia="Arial" w:hAnsi="Arial"/>
          <w:sz w:val="16"/>
          <w:szCs w:val="16"/>
          <w:b w:val="1"/>
          <w:bCs w:val="1"/>
          <w:color w:val="auto"/>
        </w:rPr>
        <w:t>Offering</w:t>
      </w:r>
      <w:r>
        <w:rPr>
          <w:rFonts w:ascii="Arial" w:cs="Arial" w:eastAsia="Arial" w:hAnsi="Arial"/>
          <w:sz w:val="16"/>
          <w:szCs w:val="16"/>
          <w:color w:val="auto"/>
        </w:rPr>
        <w:t>”) for which Jefferies LLC (“</w:t>
      </w:r>
      <w:r>
        <w:rPr>
          <w:rFonts w:ascii="Arial" w:cs="Arial" w:eastAsia="Arial" w:hAnsi="Arial"/>
          <w:sz w:val="16"/>
          <w:szCs w:val="16"/>
          <w:b w:val="1"/>
          <w:bCs w:val="1"/>
          <w:color w:val="auto"/>
        </w:rPr>
        <w:t>Jefferies</w:t>
      </w:r>
      <w:r>
        <w:rPr>
          <w:rFonts w:ascii="Arial" w:cs="Arial" w:eastAsia="Arial" w:hAnsi="Arial"/>
          <w:sz w:val="16"/>
          <w:szCs w:val="16"/>
          <w:color w:val="auto"/>
        </w:rPr>
        <w:t>”) and Piper Sandler &amp; Co. (“</w:t>
      </w:r>
      <w:r>
        <w:rPr>
          <w:rFonts w:ascii="Arial" w:cs="Arial" w:eastAsia="Arial" w:hAnsi="Arial"/>
          <w:sz w:val="16"/>
          <w:szCs w:val="16"/>
          <w:b w:val="1"/>
          <w:bCs w:val="1"/>
          <w:color w:val="auto"/>
        </w:rPr>
        <w:t>Piper Sandler</w:t>
      </w:r>
      <w:r>
        <w:rPr>
          <w:rFonts w:ascii="Arial" w:cs="Arial" w:eastAsia="Arial" w:hAnsi="Arial"/>
          <w:sz w:val="16"/>
          <w:szCs w:val="16"/>
          <w:color w:val="auto"/>
        </w:rPr>
        <w:t>”) will act as the representatives of the underwriters.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and other underwriting arrangements with the Company with respect to the Offering.</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Annex A sets forth definitions for capitalized terms used in this letter agreement that are not defined in the body of this agreement. Those definitions are a part of this agreement.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consideration of the foregoing, and for other good and valuable consideration, the receipt and sufficiency of which are hereby acknowledged, the undersigned hereby agrees that, during the Lock-up Period, the undersigned will not (and will use reasonable best efforts to cause any Family Member not to), without the prior written consent of Jefferies and Piper Sandler, which may withhold their consent in their sole discretion:</w:t>
      </w:r>
    </w:p>
    <w:p>
      <w:pPr>
        <w:spacing w:after="0" w:line="165" w:lineRule="exact"/>
        <w:rPr>
          <w:sz w:val="20"/>
          <w:szCs w:val="20"/>
          <w:color w:val="auto"/>
        </w:rPr>
      </w:pPr>
    </w:p>
    <w:p>
      <w:pPr>
        <w:ind w:left="980" w:right="260" w:hanging="324"/>
        <w:spacing w:after="0" w:line="277"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enter into any Swap,</w:t>
      </w:r>
    </w:p>
    <w:p>
      <w:pPr>
        <w:spacing w:after="0" w:line="225"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foregoing will not apply to the registration of the offer and sale of the Shares, and the sale of the Shares to the underwriters, in each case as contemplated by the Underwriting Agreement. In addition, the foregoing restrictions shall not apply to (i) the transfer of Shares or Related Securities by gift, including, without limitation, to a charitable organization, or by will or intestate succession to the legal representative, heir, beneficiary or any Family Member or to a trust whose beneficiaries consist exclusively of one or more of the undersigned and/or a Family Member, (ii) transfers or dispositions of the undersigned’s Shares or Related Securities to any corporation, partnership, limited liability company or other entity all of the beneficial ownership interests of which, in each case, are held by the undersigned or any Family Member, (iii) distributions of the undersigned’s Shares or Related Securities to partners, members, stockholders or trust beneficiaries of the undersigned, (iv) if the undersigned is a corporation, partnership, limited liability company, trust or other business entity, the transfer of Shares or Related Securities to (A) another corporation, partnership, limited liability company, trust or other business entity that is a direct or indirect affiliate (as defined in Rule 405 promulgated under the Securities Act) of the undersigned, (B) any investment fund or other entity controlling, controlled by, managing or managed by or under common control with the undersigned or affiliates of the undersigned, or (C) limited partners, general partners, members, managers, managing members, directors, officers, employees, stockholders or other equity holders of the undersigned or of the entities described in the preceding clauses (A) and (B), (v) transfers of Shares as forfeitures or to satisfy tax withholding and remittance obligations of the undersigned in connection with the vesting or exercise of equity awards granted pursuant to the Company’s equity incentive plans (or pursuant to a contractual employment arrangement described in the Prospectus) or pursuant to a net exercise or cashless exercise by the stockholder of outstanding equity awards pursuant to the Company’s equity incentive plans (or pursuant to a contractual employment arrangement described in the Prospectus), (vi) the transfer of Shares or Related Securities pursuant to a change of control of the Company (meaning the consummation of any bona fide third party tender offer, merger, consolidation or other similar transaction made to all holders of Shares the result of which is that any “person” (as defined in Section 13(d)(3) of the Exchange Act), or group of persons, becomes the beneficial owner (as defined in Rules 13d-3 and 13d-5 of the Exchange Act) of more than 50% of the voting capital stock of the Company) after the Offering that has been approved by the independent members of the Company’s board of directors, provided, that in the event that such change of control is not completed, the Shares or Related Securities owned by the undersigned shall remain subject to the restrictions herein, or (vii) the transfer of Shares or Related Securities to the Company in connection with the termination of the undersigned’s employment or other service with the Company, provided that any public disclosure or filing under the Exchange Act made during the Lock-up Period with respect to any transfer contemplated by this clause (vii) shall clearly indicate in the footnotes thereto that the public disclosure or filing relates to the circumstances described in this clause (vii). Notwithstanding the foregoing, in any such case as provided in clauses (i) through (v), it shall be a condition to such transfer that:</w:t>
      </w:r>
    </w:p>
    <w:p>
      <w:pPr>
        <w:spacing w:after="0" w:line="391" w:lineRule="exact"/>
        <w:rPr>
          <w:sz w:val="20"/>
          <w:szCs w:val="20"/>
          <w:color w:val="auto"/>
        </w:rPr>
      </w:pPr>
    </w:p>
    <w:p>
      <w:pPr>
        <w:ind w:left="5480" w:right="2960" w:hanging="4176"/>
        <w:spacing w:after="0" w:line="778" w:lineRule="auto"/>
        <w:tabs>
          <w:tab w:leader="none" w:pos="1678"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clauses (i) through (iii), such transfer shall not involve a disposition for value,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left="660" w:firstLine="644"/>
        <w:spacing w:after="0" w:line="257" w:lineRule="auto"/>
        <w:tabs>
          <w:tab w:leader="none" w:pos="1704"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transferee executes and delivers to Jefferies and Piper Sandler an agreement in form and substance satisfactory to Jefferies and Piper Sandler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 and</w:t>
      </w:r>
    </w:p>
    <w:p>
      <w:pPr>
        <w:spacing w:after="0" w:line="187" w:lineRule="exact"/>
        <w:rPr>
          <w:rFonts w:ascii="Arial" w:cs="Arial" w:eastAsia="Arial" w:hAnsi="Arial"/>
          <w:sz w:val="18"/>
          <w:szCs w:val="18"/>
          <w:color w:val="auto"/>
        </w:rPr>
      </w:pPr>
    </w:p>
    <w:p>
      <w:pPr>
        <w:jc w:val="both"/>
        <w:ind w:left="660" w:firstLine="644"/>
        <w:spacing w:after="0" w:line="263" w:lineRule="auto"/>
        <w:tabs>
          <w:tab w:leader="none" w:pos="1787"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prior to the expiration of the Lock-up Period, no public disclosure or filing under the Exchange Act by any party to the transfer (donor, donee, transferor or transferee) shall be required, or made voluntarily, reporting a reduction in beneficial ownership of Shares in connection with such transfer.</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the undersigned is an officer or director of the Company, the undersigned further agrees that the foregoing provisions shall be equally applicable to any Company-directed Shares the undersigned may purchase or otherwise receive in the Offering (including pursuant to a directed share program).</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Furthermore, notwithstanding the restrictions imposed by this letter agreement, the undersigned may (i) exercise an option to purchase Shares granted under any equity incentive plan or stock purchase plan of the Company, exercise outstanding warrants to purchase Shares, or convert outstanding preferred shares of the Company into Shares; provided that (x) the Shares issued upon such exercise or conversion shall continue to be subject to the restrictions on transfer set forth in this letter agreement and (y) any required public filings in connection therewith clearly indicate in the footnotes thereto that (1) the filing relates to the exercise of an option or warrant to purchase Shares or to the conversion of outstanding preferred shares of the Company into Shares, as applicable, (2) no Shares were sold by the reporting person and (3) the Shares received upon such exercise or conversion are subject to this letter agreement; (ii) establish a trading plan pursuant to Rule 10b5-1 under the Exchange Act for the transfer of Shares, provided that such plan does not provide for any transfers of Shares during the Lock-up Period and the entry into such plan is not publicly disclosed, including in any filing under the Exchange Act, during the Lock-up Period; (iii) transfer or dispose of (or enter into a Swap with respect to) Shares acquired in the Offering or in open market transactions following the completion of the Offering; provided that no public disclosure or filing under the Exchange Act by any party to the transfer shall be required, or made voluntarily, during the Lock-up Period; or (iv) transfer Shares or Related Securities by operation of law, including pursuant to a domestic order or negotiated divorce settlement; provided that the transferee execute and deliver to Jefferies or Piper Sandler a letter agreement in substantially the form of this letter agreement.</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if the undersigned is an officer or director of the Company, (i) Jefferies and Piper Sandler agree that, at least three business days before the effective date of any release or waiver of the foregoing restrictions in connection with a transfer of Shares, Jefferies or Piper Sandler will notify the Company of the impending release or waiver, and (ii) the Company (in accordance with the provisions of the Underwriting Agreement) will announce the impending release or waiver by press release through a major news service at least two business days before the effective date of the release or waiver. Any release or waiver granted by Jefferies and Piper Sandler hereunder to any such officer or director shall only be effective two business days after the publication date of such press release. The provisions of this paragraph will not apply if both (a) the release or waiver is effected solely to permit a transfer not for consideration and (b) the transferee has agreed in writing to be bound by the same terms described in this letter agreement that are applicable to the transferor to the extent and for the duration that such terms remain in effect at the time of the transfer.</w:t>
      </w:r>
    </w:p>
    <w:p>
      <w:pPr>
        <w:spacing w:after="0" w:line="17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ind w:right="40"/>
        <w:spacing w:after="0" w:line="342" w:lineRule="auto"/>
        <w:rPr>
          <w:sz w:val="20"/>
          <w:szCs w:val="20"/>
          <w:color w:val="auto"/>
        </w:rPr>
      </w:pPr>
      <w:r>
        <w:rPr>
          <w:rFonts w:ascii="Arial" w:cs="Arial" w:eastAsia="Arial" w:hAnsi="Arial"/>
          <w:sz w:val="16"/>
          <w:szCs w:val="16"/>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124"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The undersigned confirms that the undersigned has not, and has no knowledge that any Family Member has, directly or indirectly, taken any action designed to or that would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spacing w:after="0" w:line="14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(i) the Company notifies the Representatives in writing that it does not intend to proceed with the Offering, (ii) the purchase of Firm Shares (as defined in the Underwriting Agreement) does not occur by August 31, 2020 or (iii) the Underwriting Agreement (other than the provisions thereof that survive termination) terminates or is terminated prior to payment for and delivery of the Firm Shares, then in each case, this letter agreement shall automatically, and without any action on the part of any other party, terminate and be of no further force and effect, and the undersigned shall automatically be released from the obligations under this letter agreement.</w:t>
      </w:r>
    </w:p>
    <w:p>
      <w:pPr>
        <w:spacing w:after="0" w:line="18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New York.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Person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(Indicate capacity of person signing if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signing as custodian or trustee, or on behalf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 an entity)</w:t>
      </w:r>
    </w:p>
    <w:p>
      <w:pPr>
        <w:spacing w:after="0" w:line="211" w:lineRule="exact"/>
        <w:rPr>
          <w:sz w:val="20"/>
          <w:szCs w:val="20"/>
          <w:color w:val="auto"/>
        </w:rPr>
      </w:pPr>
    </w:p>
    <w:p>
      <w:pPr>
        <w:jc w:val="right"/>
        <w:ind w:right="2939"/>
        <w:spacing w:after="0"/>
        <w:rPr>
          <w:sz w:val="20"/>
          <w:szCs w:val="20"/>
          <w:color w:val="auto"/>
        </w:rPr>
      </w:pPr>
      <w:r>
        <w:rPr>
          <w:rFonts w:ascii="Arial" w:cs="Arial" w:eastAsia="Arial" w:hAnsi="Arial"/>
          <w:sz w:val="18"/>
          <w:szCs w:val="18"/>
          <w:color w:val="auto"/>
        </w:rPr>
        <w:t>[Signature Page to the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38" w:right="1440"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Defined Terms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Used in Lock-up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letter agreement to which this Annex A is attached and of which it is made a part: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Equivalent Position</w:t>
      </w:r>
      <w:r>
        <w:rPr>
          <w:rFonts w:ascii="Arial" w:cs="Arial" w:eastAsia="Arial" w:hAnsi="Arial"/>
          <w:sz w:val="18"/>
          <w:szCs w:val="18"/>
          <w:color w:val="auto"/>
        </w:rPr>
        <w:t>” shall have the meaning set forth in Rule 16a-1(b) under the Exchange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left="980" w:hanging="32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Immediate family member</w:t>
      </w:r>
      <w:r>
        <w:rPr>
          <w:rFonts w:ascii="Arial" w:cs="Arial" w:eastAsia="Arial" w:hAnsi="Arial"/>
          <w:sz w:val="18"/>
          <w:szCs w:val="18"/>
          <w:color w:val="auto"/>
        </w:rPr>
        <w:t>” as used above shall have the meaning set forth in Rule 16a-1(e) under the Exchange Act.</w:t>
      </w:r>
    </w:p>
    <w:p>
      <w:pPr>
        <w:spacing w:after="0" w:line="225" w:lineRule="exact"/>
        <w:rPr>
          <w:sz w:val="20"/>
          <w:szCs w:val="20"/>
          <w:color w:val="auto"/>
        </w:rPr>
      </w:pPr>
    </w:p>
    <w:p>
      <w:pPr>
        <w:ind w:left="980" w:right="60" w:hanging="3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Period</w:t>
      </w:r>
      <w:r>
        <w:rPr>
          <w:rFonts w:ascii="Arial" w:cs="Arial" w:eastAsia="Arial" w:hAnsi="Arial"/>
          <w:sz w:val="18"/>
          <w:szCs w:val="18"/>
          <w:color w:val="auto"/>
        </w:rPr>
        <w:t>” shall mean the period beginning on the date hereof and continuing through the close of trading on the date that is 90 days after the date of the Prospectus (as defined in the Underwriting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Put Equivalent Position</w:t>
      </w:r>
      <w:r>
        <w:rPr>
          <w:rFonts w:ascii="Arial" w:cs="Arial" w:eastAsia="Arial" w:hAnsi="Arial"/>
          <w:sz w:val="18"/>
          <w:szCs w:val="18"/>
          <w:color w:val="auto"/>
        </w:rPr>
        <w:t>” shall have the meaning set forth in Rule 16a-1(h) under the Exchange Act.</w:t>
      </w:r>
    </w:p>
    <w:p>
      <w:pPr>
        <w:spacing w:after="0" w:line="225" w:lineRule="exact"/>
        <w:rPr>
          <w:sz w:val="20"/>
          <w:szCs w:val="20"/>
          <w:color w:val="auto"/>
        </w:rPr>
      </w:pPr>
    </w:p>
    <w:p>
      <w:pPr>
        <w:ind w:left="980" w:right="360" w:hanging="323"/>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 or Offer to Sell</w:t>
      </w:r>
      <w:r>
        <w:rPr>
          <w:rFonts w:ascii="Arial" w:cs="Arial" w:eastAsia="Arial" w:hAnsi="Arial"/>
          <w:sz w:val="18"/>
          <w:szCs w:val="18"/>
          <w:color w:val="auto"/>
        </w:rPr>
        <w:t>” shall mean to:</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sell, offer to sell, contract to sell or lend,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effect any short sale or establish or increase a Put Equivalent Position or liquidate or decrease any Call Equivalent Position</w:t>
      </w: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pledge, hypothecate or grant any security interest in, 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in any other way transfer or dispose 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each case whether effected directly or indirectly.</w:t>
      </w:r>
    </w:p>
    <w:p>
      <w:pPr>
        <w:spacing w:after="0" w:line="221" w:lineRule="exact"/>
        <w:rPr>
          <w:sz w:val="20"/>
          <w:szCs w:val="20"/>
          <w:color w:val="auto"/>
        </w:rPr>
      </w:pPr>
    </w:p>
    <w:p>
      <w:pPr>
        <w:ind w:left="980" w:right="300" w:hanging="323"/>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w:t>
      </w:r>
      <w:r>
        <w:rPr>
          <w:rFonts w:ascii="Arial" w:cs="Arial" w:eastAsia="Arial" w:hAnsi="Arial"/>
          <w:sz w:val="16"/>
          <w:szCs w:val="16"/>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in this Annex A shall have the meanings given to them in the body of this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5" w:name="page106"/>
    <w:bookmarkEnd w:id="10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291465</wp:posOffset>
            </wp:positionV>
            <wp:extent cx="1783080" cy="3003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17830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27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June 23,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TELA 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Great Valley Parkway, Suite 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TELA Bio, Inc.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We have acted as special counsel to TELA Bio,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proposed issuance of up to 3,450,000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common stock, $0.001 par value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The Shares are included in a registration statement on Form S-1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June 23, 2020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The term “Shares” shall include any additional shares of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6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We are opining herein as to General Corporation Law of the State of Delaware, and we express no opinion with respect to any other laws.</w:t>
      </w:r>
    </w:p>
    <w:p>
      <w:pPr>
        <w:spacing w:after="0" w:line="17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form of underwriting agreement most recently filed as an exhibit to the Registration Statement,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380"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Philadelphia</w:t>
            </w:r>
          </w:p>
        </w:tc>
        <w:tc>
          <w:tcPr>
            <w:tcW w:w="1380" w:type="dxa"/>
            <w:vAlign w:val="bottom"/>
          </w:tcPr>
          <w:p>
            <w:pPr>
              <w:ind w:left="740"/>
              <w:spacing w:after="0"/>
              <w:rPr>
                <w:sz w:val="20"/>
                <w:szCs w:val="20"/>
                <w:color w:val="auto"/>
              </w:rPr>
            </w:pPr>
            <w:r>
              <w:rPr>
                <w:rFonts w:ascii="Arial" w:cs="Arial" w:eastAsia="Arial" w:hAnsi="Arial"/>
                <w:sz w:val="18"/>
                <w:szCs w:val="18"/>
                <w:color w:val="auto"/>
              </w:rPr>
              <w:t>Boston</w:t>
            </w:r>
          </w:p>
        </w:tc>
        <w:tc>
          <w:tcPr>
            <w:tcW w:w="2620" w:type="dxa"/>
            <w:vAlign w:val="bottom"/>
            <w:gridSpan w:val="2"/>
          </w:tcPr>
          <w:p>
            <w:pPr>
              <w:ind w:left="720"/>
              <w:spacing w:after="0"/>
              <w:rPr>
                <w:sz w:val="20"/>
                <w:szCs w:val="20"/>
                <w:color w:val="auto"/>
              </w:rPr>
            </w:pPr>
            <w:r>
              <w:rPr>
                <w:rFonts w:ascii="Arial" w:cs="Arial" w:eastAsia="Arial" w:hAnsi="Arial"/>
                <w:sz w:val="18"/>
                <w:szCs w:val="18"/>
                <w:color w:val="auto"/>
              </w:rPr>
              <w:t>Washington, D.C.</w:t>
            </w:r>
          </w:p>
        </w:tc>
        <w:tc>
          <w:tcPr>
            <w:tcW w:w="1300" w:type="dxa"/>
            <w:vAlign w:val="bottom"/>
          </w:tcPr>
          <w:p>
            <w:pPr>
              <w:ind w:left="20"/>
              <w:spacing w:after="0"/>
              <w:rPr>
                <w:sz w:val="20"/>
                <w:szCs w:val="20"/>
                <w:color w:val="auto"/>
              </w:rPr>
            </w:pPr>
            <w:r>
              <w:rPr>
                <w:rFonts w:ascii="Arial" w:cs="Arial" w:eastAsia="Arial" w:hAnsi="Arial"/>
                <w:sz w:val="18"/>
                <w:szCs w:val="18"/>
                <w:color w:val="auto"/>
              </w:rPr>
              <w:t>Los Angeles</w:t>
            </w:r>
          </w:p>
        </w:tc>
        <w:tc>
          <w:tcPr>
            <w:tcW w:w="1840" w:type="dxa"/>
            <w:vAlign w:val="bottom"/>
          </w:tcPr>
          <w:p>
            <w:pPr>
              <w:ind w:left="160"/>
              <w:spacing w:after="0"/>
              <w:rPr>
                <w:sz w:val="20"/>
                <w:szCs w:val="20"/>
                <w:color w:val="auto"/>
              </w:rPr>
            </w:pPr>
            <w:r>
              <w:rPr>
                <w:rFonts w:ascii="Arial" w:cs="Arial" w:eastAsia="Arial" w:hAnsi="Arial"/>
                <w:sz w:val="18"/>
                <w:szCs w:val="18"/>
                <w:color w:val="auto"/>
              </w:rPr>
              <w:t>New York</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Pittsburgh</w:t>
            </w:r>
          </w:p>
        </w:tc>
      </w:tr>
      <w:tr>
        <w:trPr>
          <w:trHeight w:val="224"/>
        </w:trPr>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Detroit</w:t>
            </w:r>
          </w:p>
        </w:tc>
        <w:tc>
          <w:tcPr>
            <w:tcW w:w="13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Berwyn</w:t>
            </w:r>
          </w:p>
        </w:tc>
        <w:tc>
          <w:tcPr>
            <w:tcW w:w="12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Harrisburg</w:t>
            </w:r>
          </w:p>
        </w:tc>
        <w:tc>
          <w:tcPr>
            <w:tcW w:w="140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88"/>
              </w:rPr>
              <w:t>Orange County</w:t>
            </w:r>
          </w:p>
        </w:tc>
        <w:tc>
          <w:tcPr>
            <w:tcW w:w="130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Princeton</w:t>
            </w:r>
          </w:p>
        </w:tc>
        <w:tc>
          <w:tcPr>
            <w:tcW w:w="18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Silicon Valley</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Wilmington</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www.pepperlaw.com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586105</wp:posOffset>
            </wp:positionV>
            <wp:extent cx="1071245"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1071245" cy="1797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TELA 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23, 2020</w:t>
      </w:r>
    </w:p>
    <w:p>
      <w:pPr>
        <w:spacing w:after="0" w:line="200" w:lineRule="exact"/>
        <w:rPr>
          <w:sz w:val="20"/>
          <w:szCs w:val="20"/>
          <w:color w:val="auto"/>
        </w:rPr>
      </w:pPr>
    </w:p>
    <w:p>
      <w:pPr>
        <w:spacing w:after="0" w:line="22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3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Pepper Hamilton LLP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Pepper Hamilton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TELA Bio, Inc.:</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use of our report incorporated by reference herein and to the reference to our firm under the heading “Experts” in the prospectus.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23, 2020</w:t>
      </w:r>
    </w:p>
    <w:sectPr>
      <w:pgSz w:w="11900" w:h="16838" w:orient="portrait"/>
      <w:cols w:equalWidth="0" w:num="1">
        <w:col w:w="11200"/>
      </w:cols>
      <w:pgMar w:left="32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decimal"/>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1)"/>
      <w:numFmt w:val="decimal"/>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1)"/>
      <w:numFmt w:val="decimal"/>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1)"/>
      <w:numFmt w:val="decimal"/>
      <w:start w:val="1"/>
    </w:lvl>
  </w:abstractNum>
  <w:abstractNum w:abstractNumId="27">
    <w:nsid w:val="47398C89"/>
    <w:multiLevelType w:val="hybridMultilevel"/>
    <w:lvl w:ilvl="0">
      <w:lvlJc w:val="left"/>
      <w:lvlText w:val="(%1)"/>
      <w:numFmt w:val="decimal"/>
      <w:start w:val="2"/>
    </w:lvl>
  </w:abstractNum>
  <w:abstractNum w:abstractNumId="28">
    <w:nsid w:val="354FE9F9"/>
    <w:multiLevelType w:val="hybridMultilevel"/>
    <w:lvl w:ilvl="0">
      <w:lvlJc w:val="left"/>
      <w:lvlText w:val="(%1)"/>
      <w:numFmt w:val="lowerRoman"/>
      <w:start w:val="2"/>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1)"/>
      <w:numFmt w:val="lowerLetter"/>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1)"/>
      <w:numFmt w:val="lowerRoman"/>
      <w:start w:val="3"/>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1)"/>
      <w:numFmt w:val="upperLetter"/>
      <w:start w:val="2"/>
    </w:lvl>
    <w:lvl w:ilvl="1">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1."/>
      <w:numFmt w:val="decimal"/>
      <w:start w:val="1"/>
    </w:lvl>
    <w:lvl w:ilvl="1">
      <w:lvlJc w:val="left"/>
      <w:lvlText w:val="%2."/>
      <w:numFmt w:val="upperLetter"/>
      <w:start w:val="1"/>
    </w:lvl>
  </w:abstractNum>
  <w:abstractNum w:abstractNumId="42">
    <w:nsid w:val="1DBABF00"/>
    <w:multiLevelType w:val="hybridMultilevel"/>
    <w:lvl w:ilvl="0">
      <w:lvlJc w:val="left"/>
      <w:lvlText w:val="%1"/>
      <w:numFmt w:val="decimal"/>
      <w:start w:val="1"/>
    </w:lvl>
    <w:lvl w:ilvl="1">
      <w:lvlJc w:val="left"/>
      <w:lvlText w:val="%2."/>
      <w:numFmt w:val="upperLetter"/>
      <w:start w:val="9"/>
    </w:lvl>
  </w:abstractNum>
  <w:abstractNum w:abstractNumId="43">
    <w:nsid w:val="4AD084E9"/>
    <w:multiLevelType w:val="hybridMultilevel"/>
    <w:lvl w:ilvl="0">
      <w:lvlJc w:val="left"/>
      <w:lvlText w:val="%1."/>
      <w:numFmt w:val="decimal"/>
      <w:start w:val="2"/>
    </w:lvl>
    <w:lvl w:ilvl="1">
      <w:lvlJc w:val="left"/>
      <w:lvlText w:val="%2"/>
      <w:numFmt w:val="upperLetter"/>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1)"/>
      <w:numFmt w:val="lowerLetter"/>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1)"/>
      <w:numFmt w:val="lowerLetter"/>
      <w:start w:val="1"/>
    </w:lvl>
  </w:abstractNum>
  <w:abstractNum w:abstractNumId="48">
    <w:nsid w:val="6590700B"/>
    <w:multiLevelType w:val="hybridMultilevel"/>
    <w:lvl w:ilvl="0">
      <w:lvlJc w:val="left"/>
      <w:lvlText w:val="(%1)"/>
      <w:numFmt w:val="lowerLetter"/>
      <w:start w:val="3"/>
    </w:lvl>
  </w:abstractNum>
  <w:abstractNum w:abstractNumId="49">
    <w:nsid w:val="15014ACB"/>
    <w:multiLevelType w:val="hybridMultilevel"/>
    <w:lvl w:ilvl="0">
      <w:lvlJc w:val="left"/>
      <w:lvlText w:val="(%1)"/>
      <w:numFmt w:val="lowerLetter"/>
      <w:start w:val="9"/>
    </w:lvl>
  </w:abstractNum>
  <w:abstractNum w:abstractNumId="50">
    <w:nsid w:val="5F5E7FD0"/>
    <w:multiLevelType w:val="hybridMultilevel"/>
    <w:lvl w:ilvl="0">
      <w:lvlJc w:val="left"/>
      <w:lvlText w:val="(%1)"/>
      <w:numFmt w:val="lowerLetter"/>
      <w:start w:val="12"/>
    </w:lvl>
  </w:abstractNum>
  <w:abstractNum w:abstractNumId="51">
    <w:nsid w:val="98A3148"/>
    <w:multiLevelType w:val="hybridMultilevel"/>
    <w:lvl w:ilvl="0">
      <w:lvlJc w:val="left"/>
      <w:lvlText w:val="(%1)"/>
      <w:numFmt w:val="lowerLetter"/>
      <w:start w:val="15"/>
    </w:lvl>
  </w:abstractNum>
  <w:abstractNum w:abstractNumId="52">
    <w:nsid w:val="799D0247"/>
    <w:multiLevelType w:val="hybridMultilevel"/>
    <w:lvl w:ilvl="0">
      <w:lvlJc w:val="left"/>
      <w:lvlText w:val="(%1)"/>
      <w:numFmt w:val="lowerLetter"/>
      <w:start w:val="18"/>
    </w:lvl>
  </w:abstractNum>
  <w:abstractNum w:abstractNumId="53">
    <w:nsid w:val="6B94764"/>
    <w:multiLevelType w:val="hybridMultilevel"/>
    <w:lvl w:ilvl="0">
      <w:lvlJc w:val="left"/>
      <w:lvlText w:val="(%1)"/>
      <w:numFmt w:val="lowerLetter"/>
      <w:start w:val="21"/>
    </w:lvl>
  </w:abstractNum>
  <w:abstractNum w:abstractNumId="54">
    <w:nsid w:val="42C296BD"/>
    <w:multiLevelType w:val="hybridMultilevel"/>
    <w:lvl w:ilvl="0">
      <w:lvlJc w:val="left"/>
      <w:lvlText w:val="(%1)"/>
      <w:numFmt w:val="lowerLetter"/>
      <w:start w:val="22"/>
    </w:lvl>
  </w:abstractNum>
  <w:abstractNum w:abstractNumId="55">
    <w:nsid w:val="168E121F"/>
    <w:multiLevelType w:val="hybridMultilevel"/>
    <w:lvl w:ilvl="0">
      <w:lvlJc w:val="left"/>
      <w:lvlText w:val="(%1)"/>
      <w:numFmt w:val="lowerLetter"/>
      <w:start w:val="25"/>
    </w:lvl>
  </w:abstractNum>
  <w:abstractNum w:abstractNumId="56">
    <w:nsid w:val="1EBA5D23"/>
    <w:multiLevelType w:val="hybridMultilevel"/>
    <w:lvl w:ilvl="0">
      <w:lvlJc w:val="left"/>
      <w:lvlText w:val="(%1)"/>
      <w:numFmt w:val="lowerLetter"/>
      <w:start w:val="27"/>
    </w:lvl>
  </w:abstractNum>
  <w:abstractNum w:abstractNumId="57">
    <w:nsid w:val="661E3F1E"/>
    <w:multiLevelType w:val="hybridMultilevel"/>
    <w:lvl w:ilvl="0">
      <w:lvlJc w:val="left"/>
      <w:lvlText w:val="%1"/>
      <w:numFmt w:val="lowerLetter"/>
      <w:start w:val="1"/>
    </w:lvl>
    <w:lvl w:ilvl="1">
      <w:lvlJc w:val="left"/>
      <w:lvlText w:val="(%2)"/>
      <w:numFmt w:val="lowerLetter"/>
      <w:start w:val="29"/>
    </w:lvl>
  </w:abstractNum>
  <w:abstractNum w:abstractNumId="58">
    <w:nsid w:val="5DC79EA8"/>
    <w:multiLevelType w:val="hybridMultilevel"/>
    <w:lvl w:ilvl="0">
      <w:lvlJc w:val="left"/>
      <w:lvlText w:val="(%1)"/>
      <w:numFmt w:val="lowerLetter"/>
      <w:start w:val="35"/>
    </w:lvl>
    <w:lvl w:ilvl="1">
      <w:lvlJc w:val="left"/>
      <w:lvlText w:val="%2"/>
      <w:numFmt w:val="lowerLetter"/>
      <w:start w:val="1"/>
    </w:lvl>
  </w:abstractNum>
  <w:abstractNum w:abstractNumId="59">
    <w:nsid w:val="540A471C"/>
    <w:multiLevelType w:val="hybridMultilevel"/>
    <w:lvl w:ilvl="0">
      <w:lvlJc w:val="left"/>
      <w:lvlText w:val="(%1)"/>
      <w:numFmt w:val="lowerLetter"/>
      <w:start w:val="32"/>
    </w:lvl>
  </w:abstractNum>
  <w:abstractNum w:abstractNumId="60">
    <w:nsid w:val="7BD3EE7B"/>
    <w:multiLevelType w:val="hybridMultilevel"/>
    <w:lvl w:ilvl="0">
      <w:lvlJc w:val="left"/>
      <w:lvlText w:val="(%1)"/>
      <w:numFmt w:val="lowerLetter"/>
      <w:start w:val="39"/>
    </w:lvl>
  </w:abstractNum>
  <w:abstractNum w:abstractNumId="61">
    <w:nsid w:val="51D9C564"/>
    <w:multiLevelType w:val="hybridMultilevel"/>
    <w:lvl w:ilvl="0">
      <w:lvlJc w:val="left"/>
      <w:lvlText w:val="%1"/>
      <w:numFmt w:val="lowerLetter"/>
      <w:start w:val="1"/>
    </w:lvl>
    <w:lvl w:ilvl="1">
      <w:lvlJc w:val="left"/>
      <w:lvlText w:val="(%2)"/>
      <w:numFmt w:val="lowerLetter"/>
      <w:start w:val="43"/>
    </w:lvl>
  </w:abstractNum>
  <w:abstractNum w:abstractNumId="62">
    <w:nsid w:val="613EFDC5"/>
    <w:multiLevelType w:val="hybridMultilevel"/>
    <w:lvl w:ilvl="0">
      <w:lvlJc w:val="left"/>
      <w:lvlText w:val="(%1)"/>
      <w:numFmt w:val="lowerLetter"/>
      <w:start w:val="9"/>
    </w:lvl>
    <w:lvl w:ilvl="1">
      <w:lvlJc w:val="left"/>
      <w:lvlText w:val="(%2)"/>
      <w:numFmt w:val="lowerLetter"/>
      <w:start w:val="44"/>
    </w:lvl>
  </w:abstractNum>
  <w:abstractNum w:abstractNumId="63">
    <w:nsid w:val="BF72B14"/>
    <w:multiLevelType w:val="hybridMultilevel"/>
    <w:lvl w:ilvl="0">
      <w:lvlJc w:val="left"/>
      <w:lvlText w:val="(%1)"/>
      <w:numFmt w:val="lowerLetter"/>
      <w:start w:val="46"/>
    </w:lvl>
  </w:abstractNum>
  <w:abstractNum w:abstractNumId="64">
    <w:nsid w:val="11447B73"/>
    <w:multiLevelType w:val="hybridMultilevel"/>
    <w:lvl w:ilvl="0">
      <w:lvlJc w:val="left"/>
      <w:lvlText w:val="(%1)"/>
      <w:numFmt w:val="lowerLetter"/>
      <w:start w:val="51"/>
    </w:lvl>
  </w:abstractNum>
  <w:abstractNum w:abstractNumId="65">
    <w:nsid w:val="42963E5A"/>
    <w:multiLevelType w:val="hybridMultilevel"/>
    <w:lvl w:ilvl="0">
      <w:lvlJc w:val="left"/>
      <w:lvlText w:val="(%1)"/>
      <w:numFmt w:val="lowerLetter"/>
      <w:start w:val="1"/>
    </w:lvl>
  </w:abstractNum>
  <w:abstractNum w:abstractNumId="66">
    <w:nsid w:val="A0382C5"/>
    <w:multiLevelType w:val="hybridMultilevel"/>
    <w:lvl w:ilvl="0">
      <w:lvlJc w:val="left"/>
      <w:lvlText w:val="%1"/>
      <w:numFmt w:val="lowerLetter"/>
      <w:start w:val="1"/>
    </w:lvl>
    <w:lvl w:ilvl="1">
      <w:lvlJc w:val="left"/>
      <w:lvlText w:val="(%2)"/>
      <w:numFmt w:val="lowerLetter"/>
      <w:start w:val="3"/>
    </w:lvl>
  </w:abstractNum>
  <w:abstractNum w:abstractNumId="67">
    <w:nsid w:val="8F2B15E"/>
    <w:multiLevelType w:val="hybridMultilevel"/>
    <w:lvl w:ilvl="0">
      <w:lvlJc w:val="left"/>
      <w:lvlText w:val="(%1)"/>
      <w:numFmt w:val="lowerLetter"/>
      <w:start w:val="1"/>
    </w:lvl>
    <w:lvl w:ilvl="1">
      <w:lvlJc w:val="left"/>
      <w:lvlText w:val="%2"/>
      <w:numFmt w:val="lowerLetter"/>
      <w:start w:val="1"/>
    </w:lvl>
  </w:abstractNum>
  <w:abstractNum w:abstractNumId="68">
    <w:nsid w:val="1A32234B"/>
    <w:multiLevelType w:val="hybridMultilevel"/>
    <w:lvl w:ilvl="0">
      <w:lvlJc w:val="left"/>
      <w:lvlText w:val="(%1)"/>
      <w:numFmt w:val="lowerLetter"/>
      <w:start w:val="4"/>
    </w:lvl>
    <w:lvl w:ilvl="1">
      <w:lvlJc w:val="left"/>
      <w:lvlText w:val="(%2)"/>
      <w:numFmt w:val="lowerLetter"/>
      <w:start w:val="35"/>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1)"/>
      <w:numFmt w:val="lowerLetter"/>
      <w:start w:val="5"/>
    </w:lvl>
  </w:abstractNum>
  <w:abstractNum w:abstractNumId="71">
    <w:nsid w:val="4962813B"/>
    <w:multiLevelType w:val="hybridMultilevel"/>
    <w:lvl w:ilvl="0">
      <w:lvlJc w:val="left"/>
      <w:lvlText w:val="(%1)"/>
      <w:numFmt w:val="lowerLetter"/>
      <w:start w:val="8"/>
    </w:lvl>
  </w:abstractNum>
  <w:abstractNum w:abstractNumId="72">
    <w:nsid w:val="60B6DF70"/>
    <w:multiLevelType w:val="hybridMultilevel"/>
    <w:lvl w:ilvl="0">
      <w:lvlJc w:val="left"/>
      <w:lvlText w:val="%1"/>
      <w:numFmt w:val="upperLetter"/>
      <w:start w:val="1"/>
    </w:lvl>
    <w:lvl w:ilvl="1">
      <w:lvlJc w:val="left"/>
      <w:lvlText w:val="(%2)"/>
      <w:numFmt w:val="lowerLetter"/>
      <w:start w:val="15"/>
    </w:lvl>
  </w:abstractNum>
  <w:abstractNum w:abstractNumId="73">
    <w:nsid w:val="6A5EE64"/>
    <w:multiLevelType w:val="hybridMultilevel"/>
    <w:lvl w:ilvl="0">
      <w:lvlJc w:val="left"/>
      <w:lvlText w:val="(%1)"/>
      <w:numFmt w:val="upperLetter"/>
      <w:start w:val="4"/>
    </w:lvl>
    <w:lvl w:ilvl="1">
      <w:lvlJc w:val="left"/>
      <w:lvlText w:val="%2"/>
      <w:numFmt w:val="lowerLetter"/>
      <w:start w:val="1"/>
    </w:lvl>
  </w:abstractNum>
  <w:abstractNum w:abstractNumId="74">
    <w:nsid w:val="14330624"/>
    <w:multiLevelType w:val="hybridMultilevel"/>
    <w:lvl w:ilvl="0">
      <w:lvlJc w:val="left"/>
      <w:lvlText w:val="(%1)"/>
      <w:numFmt w:val="lowerLetter"/>
      <w:start w:val="16"/>
    </w:lvl>
  </w:abstractNum>
  <w:abstractNum w:abstractNumId="75">
    <w:nsid w:val="7FFFCA11"/>
    <w:multiLevelType w:val="hybridMultilevel"/>
    <w:lvl w:ilvl="0">
      <w:lvlJc w:val="left"/>
      <w:lvlText w:val="(%1)"/>
      <w:numFmt w:val="lowerLetter"/>
      <w:start w:val="20"/>
    </w:lvl>
  </w:abstractNum>
  <w:abstractNum w:abstractNumId="76">
    <w:nsid w:val="1A27709E"/>
    <w:multiLevelType w:val="hybridMultilevel"/>
    <w:lvl w:ilvl="0">
      <w:lvlJc w:val="left"/>
      <w:lvlText w:val="(%1)"/>
      <w:numFmt w:val="lowerRoman"/>
      <w:start w:val="4"/>
    </w:lvl>
  </w:abstractNum>
  <w:abstractNum w:abstractNumId="77">
    <w:nsid w:val="71EA1109"/>
    <w:multiLevelType w:val="hybridMultilevel"/>
    <w:lvl w:ilvl="0">
      <w:lvlJc w:val="left"/>
      <w:lvlText w:val="(%1)"/>
      <w:numFmt w:val="lowerLetter"/>
      <w:start w:val="1"/>
    </w:lvl>
    <w:lvl w:ilvl="1">
      <w:lvlJc w:val="left"/>
      <w:lvlText w:val="(%2)"/>
      <w:numFmt w:val="lowerRoman"/>
      <w:start w:val="1"/>
    </w:lvl>
  </w:abstractNum>
  <w:abstractNum w:abstractNumId="78">
    <w:nsid w:val="100F59DC"/>
    <w:multiLevelType w:val="hybridMultilevel"/>
    <w:lvl w:ilvl="0">
      <w:lvlJc w:val="left"/>
      <w:lvlText w:val="(%1)"/>
      <w:numFmt w:val="lowerLetter"/>
      <w:start w:val="3"/>
    </w:lvl>
    <w:lvl w:ilvl="1">
      <w:lvlJc w:val="left"/>
      <w:lvlText w:val="(%2)"/>
      <w:numFmt w:val="lowerRoman"/>
      <w:start w:val="1"/>
    </w:lvl>
  </w:abstractNum>
  <w:abstractNum w:abstractNumId="79">
    <w:nsid w:val="7FB7E0AA"/>
    <w:multiLevelType w:val="hybridMultilevel"/>
    <w:lvl w:ilvl="0">
      <w:lvlJc w:val="left"/>
      <w:lvlText w:val="(%1)"/>
      <w:numFmt w:val="lowerLetter"/>
      <w:start w:val="9"/>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1)"/>
      <w:numFmt w:val="lowerLetter"/>
      <w:start w:val="3"/>
    </w:lvl>
  </w:abstractNum>
  <w:abstractNum w:abstractNumId="82">
    <w:nsid w:val="94211F2"/>
    <w:multiLevelType w:val="hybridMultilevel"/>
    <w:lvl w:ilvl="0">
      <w:lvlJc w:val="left"/>
      <w:lvlText w:val="(%1)"/>
      <w:numFmt w:val="lowerLetter"/>
      <w:start w:val="4"/>
    </w:lvl>
  </w:abstractNum>
  <w:abstractNum w:abstractNumId="83">
    <w:nsid w:val="885E1B"/>
    <w:multiLevelType w:val="hybridMultilevel"/>
    <w:lvl w:ilvl="0">
      <w:lvlJc w:val="left"/>
      <w:lvlText w:val="(%1)"/>
      <w:numFmt w:val="lowerLetter"/>
      <w:start w:val="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
      <w:numFmt w:val="bullet"/>
      <w:start w:val="1"/>
    </w:lvl>
  </w:abstractNum>
  <w:abstractNum w:abstractNumId="86">
    <w:nsid w:val="1716703B"/>
    <w:multiLevelType w:val="hybridMultilevel"/>
    <w:lvl w:ilvl="0">
      <w:lvlJc w:val="left"/>
      <w:lvlText w:val="•"/>
      <w:numFmt w:val="bullet"/>
      <w:start w:val="1"/>
    </w:lvl>
  </w:abstractNum>
  <w:abstractNum w:abstractNumId="87">
    <w:nsid w:val="14E17E33"/>
    <w:multiLevelType w:val="hybridMultilevel"/>
    <w:lvl w:ilvl="0">
      <w:lvlJc w:val="left"/>
      <w:lvlText w:val="•"/>
      <w:numFmt w:val="bullet"/>
      <w:start w:val="1"/>
    </w:lvl>
  </w:abstractNum>
  <w:abstractNum w:abstractNumId="88">
    <w:nsid w:val="3222E7CD"/>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8"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jpe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49" Type="http://schemas.openxmlformats.org/officeDocument/2006/relationships/image" Target="media/image119.png"/><Relationship Id="rId165"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2" Type="http://schemas.openxmlformats.org/officeDocument/2006/relationships/image" Target="media/image144.png"/><Relationship Id="rId193"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png"/><Relationship Id="rId196" Type="http://schemas.openxmlformats.org/officeDocument/2006/relationships/image" Target="media/image148.png"/><Relationship Id="rId197" Type="http://schemas.openxmlformats.org/officeDocument/2006/relationships/image" Target="media/image149.png"/><Relationship Id="rId198" Type="http://schemas.openxmlformats.org/officeDocument/2006/relationships/image" Target="media/image150.png"/><Relationship Id="rId199" Type="http://schemas.openxmlformats.org/officeDocument/2006/relationships/image" Target="media/image151.png"/><Relationship Id="rId200" Type="http://schemas.openxmlformats.org/officeDocument/2006/relationships/image" Target="media/image152.png"/><Relationship Id="rId201" Type="http://schemas.openxmlformats.org/officeDocument/2006/relationships/image" Target="media/image153.pn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06"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jpeg"/><Relationship Id="rId226" Type="http://schemas.openxmlformats.org/officeDocument/2006/relationships/image" Target="media/image178.png"/><Relationship Id="rId227" Type="http://schemas.openxmlformats.org/officeDocument/2006/relationships/image" Target="media/image179.jpeg"/><Relationship Id="rId228" Type="http://schemas.openxmlformats.org/officeDocument/2006/relationships/image" Target="media/image180.png"/><Relationship Id="rId111" Type="http://schemas.openxmlformats.org/officeDocument/2006/relationships/hyperlink" Target="http://www.sec.gov/Archives/edgar/data/1561921/000155837020003346/tela-20191231x10k.htm" TargetMode="External"/><Relationship Id="rId112" Type="http://schemas.openxmlformats.org/officeDocument/2006/relationships/hyperlink" Target="https://www.sec.gov/Archives/edgar/data/1561921/000155837020003346/tela-20191231x10k.htm" TargetMode="External"/><Relationship Id="rId113" Type="http://schemas.openxmlformats.org/officeDocument/2006/relationships/hyperlink" Target="http://www.sec.gov/Archives/edgar/data/1561921/000110465920050364/tm2016074-1_def14a.htm" TargetMode="External"/><Relationship Id="rId114" Type="http://schemas.openxmlformats.org/officeDocument/2006/relationships/hyperlink" Target="http://www.sec.gov/Archives/edgar/data/1561921/000110465920055594/tm2018379-1_defr14a.htm" TargetMode="External"/><Relationship Id="rId115" Type="http://schemas.openxmlformats.org/officeDocument/2006/relationships/hyperlink" Target="http://www.sec.gov/Archives/edgar/data/1561921/000155837020006726/tela-20200331x10q.htm" TargetMode="External"/><Relationship Id="rId116" Type="http://schemas.openxmlformats.org/officeDocument/2006/relationships/hyperlink" Target="http://www.sec.gov/Archives/edgar/data/1561921/000110465920056310/tm2018550-1_8k.htm" TargetMode="External"/><Relationship Id="rId117" Type="http://schemas.openxmlformats.org/officeDocument/2006/relationships/hyperlink" Target="http://www.sec.gov/Archives/edgar/data/1561921/000110465920070850/tm2021946d1_8k.htm" TargetMode="External"/><Relationship Id="rId119" Type="http://schemas.openxmlformats.org/officeDocument/2006/relationships/hyperlink" Target="http://www.sec.gov/Archives/edgar/data/1561921/000110465919060945/a19-16745_118a12b.htm" TargetMode="External"/><Relationship Id="rId134" Type="http://schemas.openxmlformats.org/officeDocument/2006/relationships/hyperlink" Target="http://www.sec.gov/Archives/edgar/data/1561921/000110465919065432/a19-23314_1ex3d1.htm" TargetMode="External"/><Relationship Id="rId135" Type="http://schemas.openxmlformats.org/officeDocument/2006/relationships/hyperlink" Target="http://www.sec.gov/Archives/edgar/data/1561921/000110465919065432/a19-23314_1ex3d2.htm" TargetMode="External"/><Relationship Id="rId136" Type="http://schemas.openxmlformats.org/officeDocument/2006/relationships/hyperlink" Target="http://www.sec.gov/Archives/edgar/data/1561921/000104746919005938/a2239923zex-4_1.htm" TargetMode="External"/><Relationship Id="rId137" Type="http://schemas.openxmlformats.org/officeDocument/2006/relationships/hyperlink" Target="http://www.sec.gov/Archives/edgar/data/1561921/000104746919005750/a2239787zex-4_2.htm" TargetMode="External"/><Relationship Id="rId138" Type="http://schemas.openxmlformats.org/officeDocument/2006/relationships/hyperlink" Target="http://www.sec.gov/Archives/edgar/data/1561921/000104746919005750/a2239787zex-4_3.htm" TargetMode="External"/><Relationship Id="rId139" Type="http://schemas.openxmlformats.org/officeDocument/2006/relationships/hyperlink" Target="http://www.sec.gov/Archives/edgar/data/1561921/000104746919005750/a2239787zex-10_1.htm" TargetMode="External"/><Relationship Id="rId140" Type="http://schemas.openxmlformats.org/officeDocument/2006/relationships/hyperlink" Target="http://www.sec.gov/Archives/edgar/data/1561921/000104746919005750/a2239787zex-10_2.htm" TargetMode="External"/><Relationship Id="rId141" Type="http://schemas.openxmlformats.org/officeDocument/2006/relationships/hyperlink" Target="http://www.sec.gov/Archives/edgar/data/1561921/000104746919005750/a2239787zex-10_3.htm" TargetMode="External"/><Relationship Id="rId142" Type="http://schemas.openxmlformats.org/officeDocument/2006/relationships/hyperlink" Target="http://www.sec.gov/Archives/edgar/data/1561921/000104746919005750/a2239787zex-10_4.htm" TargetMode="External"/><Relationship Id="rId143" Type="http://schemas.openxmlformats.org/officeDocument/2006/relationships/hyperlink" Target="http://www.sec.gov/Archives/edgar/data/1561921/000104746919005750/a2239787zex-10_5.htm" TargetMode="External"/><Relationship Id="rId144" Type="http://schemas.openxmlformats.org/officeDocument/2006/relationships/hyperlink" Target="http://www.sec.gov/Archives/edgar/data/1561921/000104746919005750/a2239787zex-10_6.htm" TargetMode="External"/><Relationship Id="rId145" Type="http://schemas.openxmlformats.org/officeDocument/2006/relationships/hyperlink" Target="http://www.sec.gov/Archives/edgar/data/1561921/000104746919005750/a2239787zex-10_7.htm" TargetMode="External"/><Relationship Id="rId146" Type="http://schemas.openxmlformats.org/officeDocument/2006/relationships/hyperlink" Target="http://www.sec.gov/Archives/edgar/data/1561921/000104746919005750/a2239787zex-10_8.htm" TargetMode="External"/><Relationship Id="rId147" Type="http://schemas.openxmlformats.org/officeDocument/2006/relationships/hyperlink" Target="http://www.sec.gov/Archives/edgar/data/1561921/000104746919005750/a2239787zex-10_9.htm" TargetMode="External"/><Relationship Id="rId148" Type="http://schemas.openxmlformats.org/officeDocument/2006/relationships/hyperlink" Target="http://www.sec.gov/Archives/edgar/data/1561921/000110465920070850/tm2021946d1_ex10-1.htm" TargetMode="External"/><Relationship Id="rId150" Type="http://schemas.openxmlformats.org/officeDocument/2006/relationships/hyperlink" Target="http://www.sec.gov/Archives/edgar/data/1561921/000104746919005938/a2239923zex-10_11.htm" TargetMode="External"/><Relationship Id="rId151" Type="http://schemas.openxmlformats.org/officeDocument/2006/relationships/hyperlink" Target="http://www.sec.gov/Archives/edgar/data/1561921/000104746919005938/a2239923zex-10_12.htm" TargetMode="External"/><Relationship Id="rId152" Type="http://schemas.openxmlformats.org/officeDocument/2006/relationships/hyperlink" Target="http://www.sec.gov/Archives/edgar/data/1561921/000104746919005938/a2239923zex-10_13.htm" TargetMode="External"/><Relationship Id="rId153" Type="http://schemas.openxmlformats.org/officeDocument/2006/relationships/hyperlink" Target="http://www.sec.gov/Archives/edgar/data/1561921/000104746919005938/a2239923zex-10_16.htm" TargetMode="External"/><Relationship Id="rId154" Type="http://schemas.openxmlformats.org/officeDocument/2006/relationships/hyperlink" Target="http://www.sec.gov/Archives/edgar/data/1561921/000104746919005938/a2239923zex-10_19.htm" TargetMode="External"/><Relationship Id="rId155" Type="http://schemas.openxmlformats.org/officeDocument/2006/relationships/hyperlink" Target="http://www.sec.gov/Archives/edgar/data/1561921/000104746919005938/a2239923zex-10_21.htm" TargetMode="External"/><Relationship Id="rId156" Type="http://schemas.openxmlformats.org/officeDocument/2006/relationships/hyperlink" Target="http://www.sec.gov/Archives/edgar/data/1561921/000104746919005938/a2239923zex-10_31.htm" TargetMode="External"/><Relationship Id="rId157" Type="http://schemas.openxmlformats.org/officeDocument/2006/relationships/hyperlink" Target="http://www.sec.gov/Archives/edgar/data/1561921/000104746919005750/a2239787zex-10_18.htm" TargetMode="External"/><Relationship Id="rId158" Type="http://schemas.openxmlformats.org/officeDocument/2006/relationships/hyperlink" Target="http://www.sec.gov/Archives/edgar/data/1561921/000104746919005750/a2239787zex-10_19.htm" TargetMode="External"/><Relationship Id="rId159" Type="http://schemas.openxmlformats.org/officeDocument/2006/relationships/hyperlink" Target="http://www.sec.gov/Archives/edgar/data/1561921/000104746919005750/a2239787zex-10_20.htm" TargetMode="External"/><Relationship Id="rId160" Type="http://schemas.openxmlformats.org/officeDocument/2006/relationships/hyperlink" Target="http://www.sec.gov/Archives/edgar/data/1561921/000104746919005750/a2239787zex-10_21.htm" TargetMode="External"/><Relationship Id="rId161" Type="http://schemas.openxmlformats.org/officeDocument/2006/relationships/hyperlink" Target="http://www.sec.gov/Archives/edgar/data/1561921/000155837020003346/tela-20191231ex10228386f.htm" TargetMode="External"/><Relationship Id="rId162" Type="http://schemas.openxmlformats.org/officeDocument/2006/relationships/hyperlink" Target="http://www.sec.gov/Archives/edgar/data/1561921/000155837020006726/tela-20200331ex102802ad7.htm" TargetMode="External"/><Relationship Id="rId163" Type="http://schemas.openxmlformats.org/officeDocument/2006/relationships/hyperlink" Target="http://www.sec.gov/Archives/edgar/data/1561921/000104746919005750/a2239787zex-10_22.htm" TargetMode="External"/><Relationship Id="rId164" Type="http://schemas.openxmlformats.org/officeDocument/2006/relationships/hyperlink" Target="http://www.sec.gov/Archives/edgar/data/1561921/000104746919005750/a2239787zex-10_23.htm" TargetMode="External"/><Relationship Id="rId166" Type="http://schemas.openxmlformats.org/officeDocument/2006/relationships/hyperlink" Target="http://www.sec.gov/Archives/edgar/data/1561921/000104746919005750/a2239787zex-10_24.htm" TargetMode="External"/><Relationship Id="rId167" Type="http://schemas.openxmlformats.org/officeDocument/2006/relationships/hyperlink" Target="http://www.sec.gov/Archives/edgar/data/1561921/000155837020003346/tela-20191231ex10260ad2b.htm" TargetMode="External"/><Relationship Id="rId168" Type="http://schemas.openxmlformats.org/officeDocument/2006/relationships/hyperlink" Target="http://www.sec.gov/Archives/edgar/data/1561921/000104746919005750/a2239787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2020-06-23T15:08:54Z</dcterms:created>
  <dcterms:modified xsi:type="dcterms:W3CDTF">2020-06-23T15:08:54Z</dcterms:modified>
</cp:coreProperties>
</file>