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16,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TELA 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0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001-39130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45-5320061</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06" w:right="339" w:bottom="1440" w:gutter="0" w:footer="0" w:header="0"/>
          <w:type w:val="continuous"/>
        </w:sectPr>
      </w:pPr>
    </w:p>
    <w:p>
      <w:pPr>
        <w:spacing w:after="0" w:line="34"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 Great Valley Parkway, Suite 24</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Malvern, Pennsylvania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19355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(484) 320-2930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46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6"/>
              </w:rPr>
              <w:t>Title of each class</w:t>
            </w:r>
          </w:p>
        </w:tc>
        <w:tc>
          <w:tcPr>
            <w:tcW w:w="25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44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5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TELA</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1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August 16, 2023, TELA Bio, Inc. (the “Company”) issued a press release announcing the commercial launch of the Company’s OviTex® PRS Long-Term Resorbable product. A copy of this press release is filed as Exhibit 99.1 hereto and incorporated herein by reference.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FEFEFE"/>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shd w:val="clear" w:color="auto" w:fill="FEFEFE"/>
          </w:tcPr>
          <w:p>
            <w:pPr>
              <w:ind w:left="5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42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982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furnished herewith: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Borders>
              <w:bottom w:val="single" w:sz="8" w:color="auto"/>
            </w:tcBorders>
            <w:gridSpan w:val="2"/>
            <w:shd w:val="clear" w:color="auto" w:fill="FEFEFE"/>
          </w:tcPr>
          <w:p>
            <w:pPr>
              <w:spacing w:after="0"/>
              <w:rPr>
                <w:sz w:val="20"/>
                <w:szCs w:val="20"/>
                <w:color w:val="auto"/>
              </w:rPr>
            </w:pPr>
            <w:r>
              <w:rPr>
                <w:rFonts w:ascii="Arial" w:cs="Arial" w:eastAsia="Arial" w:hAnsi="Arial"/>
                <w:sz w:val="18"/>
                <w:szCs w:val="18"/>
                <w:b w:val="1"/>
                <w:bCs w:val="1"/>
                <w:color w:val="auto"/>
                <w:w w:val="95"/>
              </w:rPr>
              <w:t>Exhibit No.</w:t>
            </w:r>
          </w:p>
        </w:tc>
        <w:tc>
          <w:tcPr>
            <w:tcW w:w="220" w:type="dxa"/>
            <w:vAlign w:val="bottom"/>
            <w:tcBorders>
              <w:bottom w:val="single" w:sz="8" w:color="FEFEFE"/>
            </w:tcBorders>
            <w:shd w:val="clear" w:color="auto" w:fill="FEFEFE"/>
          </w:tcPr>
          <w:p>
            <w:pPr>
              <w:spacing w:after="0"/>
              <w:rPr>
                <w:sz w:val="19"/>
                <w:szCs w:val="19"/>
                <w:color w:val="auto"/>
              </w:rPr>
            </w:pPr>
          </w:p>
        </w:tc>
        <w:tc>
          <w:tcPr>
            <w:tcW w:w="10100" w:type="dxa"/>
            <w:vAlign w:val="bottom"/>
            <w:tcBorders>
              <w:bottom w:val="single" w:sz="8" w:color="auto"/>
            </w:tcBorders>
            <w:gridSpan w:val="2"/>
            <w:shd w:val="clear" w:color="auto" w:fill="FEFEFE"/>
          </w:tcPr>
          <w:p>
            <w:pPr>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920" w:type="dxa"/>
            <w:vAlign w:val="bottom"/>
            <w:gridSpan w:val="2"/>
            <w:shd w:val="clear" w:color="auto" w:fill="FEFEFE"/>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shd w:val="clear" w:color="auto" w:fill="FEFEFE"/>
          </w:tcPr>
          <w:p>
            <w:pPr>
              <w:spacing w:after="0"/>
              <w:rPr>
                <w:sz w:val="14"/>
                <w:szCs w:val="14"/>
                <w:color w:val="auto"/>
              </w:rPr>
            </w:pPr>
          </w:p>
        </w:tc>
        <w:tc>
          <w:tcPr>
            <w:tcW w:w="10100" w:type="dxa"/>
            <w:vAlign w:val="bottom"/>
            <w:gridSpan w:val="2"/>
            <w:shd w:val="clear" w:color="auto" w:fill="FEFEFE"/>
          </w:tcPr>
          <w:p>
            <w:pPr>
              <w:spacing w:after="0" w:line="169" w:lineRule="exact"/>
              <w:rPr>
                <w:sz w:val="20"/>
                <w:szCs w:val="20"/>
                <w:color w:val="auto"/>
              </w:rPr>
            </w:pPr>
            <w:r>
              <w:rPr>
                <w:rFonts w:ascii="Arial" w:cs="Arial" w:eastAsia="Arial" w:hAnsi="Arial"/>
                <w:sz w:val="18"/>
                <w:szCs w:val="18"/>
                <w:color w:val="0000EE"/>
              </w:rPr>
              <w:t>Press Release of TELA Bio, Inc., dated August 16,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5980" w:type="dxa"/>
            <w:vAlign w:val="bottom"/>
            <w:shd w:val="clear" w:color="auto" w:fill="FEFEFE"/>
          </w:tcPr>
          <w:p>
            <w:pPr>
              <w:spacing w:after="0" w:line="20" w:lineRule="exact"/>
              <w:rPr>
                <w:sz w:val="1"/>
                <w:szCs w:val="1"/>
                <w:color w:val="auto"/>
              </w:rPr>
            </w:pPr>
          </w:p>
        </w:tc>
      </w:tr>
      <w:tr>
        <w:trPr>
          <w:trHeight w:val="237"/>
        </w:trPr>
        <w:tc>
          <w:tcPr>
            <w:tcW w:w="320" w:type="dxa"/>
            <w:vAlign w:val="bottom"/>
            <w:shd w:val="clear" w:color="auto" w:fill="FEFEFE"/>
          </w:tcPr>
          <w:p>
            <w:pPr>
              <w:spacing w:after="0"/>
              <w:rPr>
                <w:sz w:val="20"/>
                <w:szCs w:val="20"/>
                <w:color w:val="auto"/>
              </w:rPr>
            </w:pPr>
            <w:r>
              <w:rPr>
                <w:rFonts w:ascii="Arial" w:cs="Arial" w:eastAsia="Arial" w:hAnsi="Arial"/>
                <w:sz w:val="18"/>
                <w:szCs w:val="18"/>
                <w:color w:val="auto"/>
                <w:w w:val="99"/>
              </w:rPr>
              <w:t>104</w:t>
            </w:r>
          </w:p>
        </w:tc>
        <w:tc>
          <w:tcPr>
            <w:tcW w:w="6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010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TELA BIO,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Name: Antony Koblish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i w:val="1"/>
          <w:iCs w:val="1"/>
          <w:color w:val="auto"/>
        </w:rPr>
        <w:t>Title:</w:t>
        <w:tab/>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13423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340" w:right="700"/>
        <w:spacing w:after="0" w:line="216" w:lineRule="auto"/>
        <w:rPr>
          <w:sz w:val="20"/>
          <w:szCs w:val="20"/>
          <w:color w:val="auto"/>
        </w:rPr>
      </w:pPr>
      <w:r>
        <w:rPr>
          <w:rFonts w:ascii="Arial" w:cs="Arial" w:eastAsia="Arial" w:hAnsi="Arial"/>
          <w:sz w:val="18"/>
          <w:szCs w:val="18"/>
          <w:b w:val="1"/>
          <w:bCs w:val="1"/>
          <w:color w:val="auto"/>
        </w:rPr>
        <w:t>TELA Bio Announces U.S. Commercial Launch of OviTex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PRS Long-Term Resorbable for Plastic and Reconstructive Surgery </w:t>
      </w:r>
      <w:r>
        <w:rPr>
          <w:rFonts w:ascii="Arial" w:cs="Arial" w:eastAsia="Arial" w:hAnsi="Arial"/>
          <w:sz w:val="18"/>
          <w:szCs w:val="18"/>
          <w:i w:val="1"/>
          <w:iCs w:val="1"/>
          <w:color w:val="auto"/>
        </w:rPr>
        <w:t>New addition expands reconstruction options for surgeons and patients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MALVERN, PA., August 16,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TELA Bio, Inc</w:t>
      </w:r>
      <w:r>
        <w:rPr>
          <w:rFonts w:ascii="Arial" w:cs="Arial" w:eastAsia="Arial" w:hAnsi="Arial"/>
          <w:sz w:val="18"/>
          <w:szCs w:val="18"/>
          <w:color w:val="auto"/>
        </w:rPr>
        <w:t>. (NASDAQ: TELA), a commercial-stage medical technology company focused 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soft-tissue reconstruction solutions that optimize clinical outcomes by prioritizing the preservation and restoration of the patient's own anatomy, today announced the launch of their OviTex PRS Long-Term Resorbable product. OviTex PRS Long-Term Resorbable is intended for implantation to reinforce soft tissue where weakness exists in patients requiring soft tissue repair or reinforcement in plastic and reconstructive surgery. The device is supplied sterile and is intended for one time use.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OviTex PRS Long-Term Resorbable supplements the Company's existing OviTex PRS portfolio, which includes OviTex PRS Permanent and OviTex PRS Short-Term Resorbable configurations. The OviTex PRS portfolio is designed to improve outcomes by facilitating functional tissue remodeling while controlling the degree and direction of stretch. OviTex PRS Long-Term Resorbable enhances the OviTex PRS portfolio with specific design features, including bi-directional stretch and a fully resorbable, long-term polymer for reinforcement.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excited to offer expanded clinical utility of the OviTex PRS portfolio to surgeons and patients in plastic and reconstructive surgery,” said Antony Koblish, President and CEO of TELA Bio. “OviTex PRS Long-Term Resorbable is an important addition to the portfolio as it will allow surgeons to address clinical indications that require longer term reinforcement while avoiding the use of permanent materials.”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6,800+ implantations at over 400 healthcare facilities, OviTex PRS is the only biologic reinforced with interwoven polymer sutures designed specifically for plastic and reconstructive surgery. This next-generation reinforced biologic is purposefully designed for consistency in stretch, permeability, and handling while facilitating functional remodeling. The OviTex PRS portfolio provides multiple resorption, stretch, and shape offerings to meet the unique needs of each patient.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OviTex PRS portfolio provides surgeons with an innovative and effective platform for soft-tissue reconstruction,” said Dr. Howard Langstein, MD, Professor of Plastic Surgery University of Rochester Medical Center. “My experience with OviTex PRS has been very positive and the addition of a long-term resorbable reinforcement option further expands the treatment options for my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www.ovitexprs.com</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TELA Bio,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www.telabio.com.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OviTex PRS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OviTex PRS Reinforced Tissue Matrix is intended for implantation to reinforce soft tissue where weakness exists in patients requiring soft tissue repair or reinforcement in plastic and reconstructive surgery. The device is supplied sterile and is intended for one-time use.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not use OviTex PRS in patients with a known sensitivity to materials of ovine (sheep) origin. For prescription use only. For additional important safety information, please see the OviTex PRS Instructions for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TELA's management, including with respect to the launch of the OviTex PRS Long-Term Resorbable product. These statements are not guarantees of future performance and are subject to certain risks, uncertainties and other factors that could cause actual results and events to differ materially and adversely from those indicated by such forward-looking statements including, among others the impact to our business from macroeconomic conditions, including the ongoing response to the COVID-19 pandemic, recessionary concerns, banking instability, and inflationary pressures, potentially impacting our ability to market our products, demand for our products due to the deferral of elective procedures, the labor and staffing environment in the healthcare industry, disruption in our supply chain, or pricing pressures concerning our products or the procedures using our products; our ability to achieve or sustain profitability; our ability to gain market acceptance for our products and to accurately forecast and meet customer demand; our ability to compete successfully; that data from earlier studies related to our products and interim data from ongoing studies may not be replicated in later studies or indicative of future data; that data obtained from clinical studies using our product may not be indicative of outcomes in other surgical settings; our ability to enhance our product offerings; development and manufacturing problems; capacity constraints or delays in production of our products; maintenance of coverage and adequate reimbursement for procedures using our products; product defects or failures. These and other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assumes no obligation to update forward-looking statements whether as a result of new information, future events or otherwise after the date of this press release,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Greg Chodaczek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347-620-7010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ir@telabio.com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Alyson Kuritz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908-892-7149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alyson@0to5.com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2023-08-16T06:23:45Z</dcterms:created>
  <dcterms:modified xsi:type="dcterms:W3CDTF">2023-08-16T06:23:45Z</dcterms:modified>
</cp:coreProperties>
</file>