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609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0959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THOMAS PAUL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TELA 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TELA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24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TELA BIO, INC.</w:t>
            </w:r>
          </w:p>
        </w:tc>
        <w:tc>
          <w:tcPr>
            <w:tcW w:w="120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24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 GREAT VALLEY PARKWAY, SUITE 24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MALVERN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19355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11,925</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11,925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11,675</w:t>
            </w:r>
            <w:r>
              <w:rPr>
                <w:rFonts w:ascii="Times New Roman" w:cs="Times New Roman" w:eastAsia="Times New Roman" w:hAnsi="Times New Roman"/>
                <w:sz w:val="21"/>
                <w:szCs w:val="21"/>
                <w:color w:val="008000"/>
                <w:w w:val="91"/>
                <w:vertAlign w:val="superscript"/>
              </w:rPr>
              <w:t>(2)</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23,600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0.935</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17,550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7"/>
                <w:szCs w:val="17"/>
                <w:color w:val="0000FF"/>
                <w:w w:val="94"/>
              </w:rPr>
              <w:t>17,550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17,550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0.935</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17,335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7"/>
                <w:szCs w:val="17"/>
                <w:color w:val="0000FF"/>
                <w:w w:val="94"/>
              </w:rPr>
              <w:t>17,335</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17,335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will vest in three equal annual installments beginning on June 9, 2027, in each case subject to the Reporting Person's continued service through the applicable vesting date.</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vest on the earlier of (a) June 9, 2027, (b) the next annual meeting of stockholders, or (c) the occurrence of a Change in Control (as defined in the Issuer's Amended and Restated 2019 Equity Incentive Plan), in each case subject to the Reporting Person's continued service through the applicable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36 equal monthly installments on each monthly anniversary of June 9, 2026, in each case subject to the Reporting Person's continued service through the applicable vesting date.</w:t>
      </w:r>
    </w:p>
    <w:p>
      <w:pPr>
        <w:spacing w:after="0" w:line="43" w:lineRule="exact"/>
        <w:rPr>
          <w:rFonts w:ascii="Times New Roman" w:cs="Times New Roman" w:eastAsia="Times New Roman" w:hAnsi="Times New Roman"/>
          <w:sz w:val="13"/>
          <w:szCs w:val="13"/>
          <w:color w:val="008000"/>
        </w:rPr>
      </w:pPr>
    </w:p>
    <w:p>
      <w:pPr>
        <w:ind w:left="40" w:right="4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on the earlier of (a) June 9, 2027, (b) the next annual meeting of stockholders, or (c) the occurrence of a Change in Control (as defined in the Issuer's Amended and Restated 2019 Equity Incentive Plan), in each case subject to the Reporting Person's continued service through the applicable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Megan Smeykal,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20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66776" TargetMode="External"/><Relationship Id="rId14" Type="http://schemas.openxmlformats.org/officeDocument/2006/relationships/hyperlink" Target="http://www.sec.gov/cgi-bin/browse-edgar?action=getcompany&amp;CIK=0001561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2026-06-11T17:07:19Z</dcterms:created>
  <dcterms:modified xsi:type="dcterms:W3CDTF">2026-06-11T17:07:19Z</dcterms:modified>
</cp:coreProperties>
</file>