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979d1_8ka.htm"/>
      <w:bookmarkStart w:id="1" w:name="kstm2622979d1_8k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5_edei--DocumentType_c20260803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D_edei--EntityFileNumber_c20260803"/>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F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 Great Valley Parkway, </w:t>
            </w:r>
            <w:bookmarkStart w:id="9" w:name="xdx_905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Malvern, </w:t>
            </w:r>
            <w:bookmarkStart w:id="11" w:name="xdx_905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6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5_edei--CityAreaCode_c20260803__20"/>
      <w:bookmarkEnd w:id="13"/>
      <w:r>
        <w:rPr>
          <w:rFonts w:ascii="Times New Roman;Times;Serif" w:hAnsi="Times New Roman;Times;Serif"/>
          <w:b/>
          <w:i w:val="false"/>
          <w:caps w:val="false"/>
          <w:smallCaps w:val="false"/>
          <w:sz w:val="20"/>
        </w:rPr>
        <w:t xml:space="preserve">484) </w:t>
      </w:r>
      <w:bookmarkStart w:id="14" w:name="xdx_90C_edei--LocalPhoneNumber_c20260803"/>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9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4_edei--SolicitingMaterial_c202608"/>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7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9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E_edei--Security12bTitle_c20260803"/>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5_edei--TradingSymbol_c20260803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3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Current Report on Form 8-K supplements and amends Item 5.02 of the Current Report on Form 8-K filed on August 4, 2026 (the “</w:t>
      </w:r>
      <w:r>
        <w:rPr>
          <w:rFonts w:ascii="Times New Roman;Times;Serif" w:hAnsi="Times New Roman;Times;Serif"/>
          <w:b/>
          <w:i/>
          <w:caps w:val="false"/>
          <w:smallCaps w:val="false"/>
          <w:sz w:val="20"/>
        </w:rPr>
        <w:t>Original Form 8-K</w:t>
      </w:r>
      <w:r>
        <w:rPr>
          <w:rFonts w:ascii="Times New Roman;Times;Serif" w:hAnsi="Times New Roman;Times;Serif"/>
          <w:b w:val="false"/>
          <w:i w:val="false"/>
          <w:caps w:val="false"/>
          <w:smallCaps w:val="false"/>
          <w:sz w:val="20"/>
        </w:rPr>
        <w:t>”) to disclose information regarding material modifications to a material compensatory plan, contract or arrangement as to which a named executive officer of the registrant participates that were effected pursuant to an agreement entered into subsequent to the filing of the Original Form 8-K. No other changes have been made to the Original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in the Original Form 8-K,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determined that Antony Koblish will no longer serve as the Company’s Chief Executive Officer as of August 3, 2026 (the “</w:t>
      </w:r>
      <w:r>
        <w:rPr>
          <w:rFonts w:ascii="Times New Roman;Times;Serif" w:hAnsi="Times New Roman;Times;Serif"/>
          <w:b/>
          <w:i/>
          <w:caps w:val="false"/>
          <w:smallCaps w:val="false"/>
          <w:sz w:val="20"/>
        </w:rPr>
        <w:t>Separation Date</w:t>
      </w:r>
      <w:r>
        <w:rPr>
          <w:rFonts w:ascii="Times New Roman;Times;Serif" w:hAnsi="Times New Roman;Times;Serif"/>
          <w:b w:val="false"/>
          <w:i w:val="false"/>
          <w:caps w:val="false"/>
          <w:smallCaps w:val="false"/>
          <w:sz w:val="20"/>
        </w:rPr>
        <w:t>”) and that the Company and Mr. Koblish expected to enter into a separation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the Company and Mr. Koblish entered into a Separation Agreement and General Release (the “</w:t>
      </w:r>
      <w:r>
        <w:rPr>
          <w:rFonts w:ascii="Times New Roman;Times;Serif" w:hAnsi="Times New Roman;Times;Serif"/>
          <w:b/>
          <w:i/>
          <w:caps w:val="false"/>
          <w:smallCaps w:val="false"/>
          <w:sz w:val="20"/>
        </w:rPr>
        <w:t>Separation Agreement</w:t>
      </w:r>
      <w:r>
        <w:rPr>
          <w:rFonts w:ascii="Times New Roman;Times;Serif" w:hAnsi="Times New Roman;Times;Serif"/>
          <w:b w:val="false"/>
          <w:i w:val="false"/>
          <w:caps w:val="false"/>
          <w:smallCaps w:val="false"/>
          <w:sz w:val="20"/>
        </w:rPr>
        <w:t>”). Pursuant to the Separation Agreement, Mr. Koblish will receive all accrued and unpaid base salary through the Separation Date and will remain eligible to elect to continue coverage under the Company’s health, dental and vision benefits pursuant to the Consolidated Omnibus Budget Reconciliation Act (“COBRA”) through August 31, 2026. Further, pursuant to the Separation Agreement, Mr. Koblish will receive an amount equal to 12 months of his base salary rate in effect immediately prior to the Separation Date, paid ratably in substantially equal installments in accordance with the Company’s payroll practice over 12 months, beginning on the first payroll date following the Effective Date. If Mr. Koblish timely elects to continue his health, dental and vision coverage under COBRA by September 1, 2026, the Company will pay COBRA premiums on Mr. Koblish’s behalf for a period of twelve (12) months, under the same terms and conditions as if Mr. Koblish was an active employee. Mr. Koblish’s equity awards granted under the Company’s Amended and Restated 2019 Equity Incentive Plan, as amended, and any other equity plan shall all immediately accelerate and become fully vested and exercisable or nonforfeitable as of the Effective Date. Mr. Koblish’s option excise period for any outstanding options (including any options accelerated in accordance with the above) shall be extended until the earlier of (i) December 31, 2027 and (ii) the applicable expiration date of such options, subject to earlier termination in the event of a change in control. Mr. Koblish’s performance stock units shall remain outstanding and eligible to vest upon the achievement of certain annual revenue and gross margin goals to the extent achieved on or prior to December 31, 2026; provided that if a change in control transaction occurs on or prior to December 31, 2026, such performance stock units shall vest at target. Additionally, Mr. Koblish agreed to a general release and waiver of claims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Separation Agreement does not purport to be complete and is qualified in its entirety by reference to the full text of the Separation Agreement, which will be filed as an exhibit to the Company’s Quarterly Report on Form 10-Q for the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560"/>
        <w:gridCol w:w="6080"/>
        <w:gridCol w:w="75"/>
      </w:tblGrid>
      <w:tr>
        <w:trPr/>
        <w:tc>
          <w:tcPr>
            <w:tcW w:w="66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c>
          <w:tcPr>
            <w:tcW w:w="75" w:type="dxa"/>
            <w:tcBorders/>
            <w:vAlign w:val="center"/>
          </w:tcPr>
          <w:p>
            <w:pPr>
              <w:pStyle w:val="TableContents"/>
              <w:bidi w:val="0"/>
              <w:spacing w:before="0" w:after="283"/>
              <w:jc w:val="left"/>
              <w:rPr/>
            </w:pPr>
            <w:r>
              <w:rPr/>
              <w:t> </w:t>
            </w:r>
          </w:p>
        </w:tc>
      </w:tr>
      <w:tr>
        <w:trPr/>
        <w:tc>
          <w:tcPr>
            <w:tcW w:w="66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Roberto Cuca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60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Roberto Cuca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60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Operating Officer; Chief Financial Officer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914</Words>
  <Characters>4926</Characters>
  <CharactersWithSpaces>5840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