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862d1_s8.htm"/>
      <w:bookmarkStart w:id="1" w:name="kstm2622862d1_s8"/>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United States Securities and Exchange Commission on August 11,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FORM S-8</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TELA BIO,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3740"/>
        <w:gridCol w:w="60"/>
        <w:gridCol w:w="2915"/>
      </w:tblGrid>
      <w:tr>
        <w:trPr/>
        <w:tc>
          <w:tcPr>
            <w:tcW w:w="3740" w:type="dxa"/>
            <w:tcBorders/>
            <w:vAlign w:val="center"/>
          </w:tcPr>
          <w:p>
            <w:pPr>
              <w:pStyle w:val="TableContents"/>
              <w:bidi w:val="0"/>
              <w:spacing w:before="0" w:after="283"/>
              <w:jc w:val="center"/>
              <w:rPr/>
            </w:pPr>
            <w:r>
              <w:rPr>
                <w:rFonts w:ascii="Times New Roman;Times;Serif" w:hAnsi="Times New Roman;Times;Serif"/>
                <w:b/>
                <w:sz w:val="20"/>
              </w:rPr>
              <w:t>Delaware</w:t>
            </w: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45-5320061</w:t>
            </w:r>
          </w:p>
        </w:tc>
      </w:tr>
      <w:tr>
        <w:trPr/>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w:t>
              <w:br/>
              <w:t>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pPr>
            <w:r>
              <w:rPr>
                <w:rFonts w:ascii="Times New Roman;Times;Serif" w:hAnsi="Times New Roman;Times;Serif"/>
                <w:b/>
                <w:sz w:val="20"/>
              </w:rPr>
              <w:t>1 Great Valley Parkway, Suite 24</w:t>
            </w:r>
            <w:r>
              <w:rPr/>
              <w:t xml:space="preserve"> </w:t>
            </w:r>
            <w:r>
              <w:rPr>
                <w:b/>
              </w:rPr>
              <w:br/>
              <w:t xml:space="preserve">Malvern, 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19355</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INC. AMENDED AND RESTATED 2019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Heather Getz</w:t>
        <w:br/>
        <w:t>Chief Executive Officer</w:t>
        <w:br/>
        <w:t>TELA Bio, Inc.</w:t>
        <w:br/>
        <w:t>1 Great Valley Parkway, Suite 24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Malvern, Pennsylvania 19355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(484) 320-2930</w:t>
        <w:br/>
      </w: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Copies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Rachael M. Bushey, Esq.</w:t>
        <w:br/>
        <w:t>Justin S. Platt, Esq.</w:t>
        <w:br/>
        <w:t>Goodwin Procter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 John F Kennedy Blvd</w:t>
        <w:br/>
        <w:t>Philadelphia, PA 19104</w:t>
        <w:br/>
        <w:t>(445) 207-7805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Board of Directors of TELA Bio,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adopted, subject to approval by the stockholders, an amendment to the TELA Bio, Inc. Amended and Restated 2019 Equity Incentive Plan, as amended (the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(such amendment,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and the Equity Plan, after giving effect to the Amendment, the “</w:t>
      </w:r>
      <w:r>
        <w:rPr>
          <w:rFonts w:ascii="Times New Roman;Times;Serif" w:hAnsi="Times New Roman;Times;Serif"/>
          <w:b w:val="false"/>
          <w:i w:val="false"/>
          <w:caps w:val="false"/>
          <w:smallCaps w:val="false"/>
          <w:sz w:val="20"/>
          <w:u w:val="single"/>
        </w:rPr>
        <w:t>Amended Equity Plan</w:t>
      </w:r>
      <w:r>
        <w:rPr>
          <w:rFonts w:ascii="Times New Roman;Times;Serif" w:hAnsi="Times New Roman;Times;Serif"/>
          <w:b w:val="false"/>
          <w:i w:val="false"/>
          <w:caps w:val="false"/>
          <w:smallCaps w:val="false"/>
          <w:sz w:val="20"/>
        </w:rPr>
        <w:t>”), which the stockholders of the Company approved at the Company’s 2026 Annual Meeting of Stockholders held on June 9, 2026. The Amendment increased the number of shares of common stock, par value $0.001 per share,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authorized for issuance thereunder by 3,500,000 shares of Common Stock (the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This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is being filed solely for the purpose of registering the Additional Shares for issuance under the Amended Equity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 xml:space="preserve">Such Additional Shares are of the same class of securities as the shares of Common Stock issuable under the Equity Plan for which the currently effective Registration Statements on Form S-8 (File Nos. </w:t>
      </w:r>
      <w:hyperlink r:id="rId2">
        <w:r>
          <w:rPr>
            <w:rStyle w:val="InternetLink"/>
            <w:rFonts w:ascii="Times New Roman;Times;Serif" w:hAnsi="Times New Roman;Times;Serif"/>
            <w:b w:val="false"/>
            <w:i w:val="false"/>
            <w:caps w:val="false"/>
            <w:smallCaps w:val="false"/>
            <w:sz w:val="20"/>
          </w:rPr>
          <w:t>333-235241</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333-245707</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333-289497</w:t>
        </w:r>
      </w:hyperlink>
      <w:r>
        <w:rPr>
          <w:rFonts w:ascii="Times New Roman;Times;Serif" w:hAnsi="Times New Roman;Times;Serif"/>
          <w:b w:val="false"/>
          <w:i w:val="false"/>
          <w:caps w:val="false"/>
          <w:smallCaps w:val="false"/>
          <w:sz w:val="20"/>
        </w:rPr>
        <w:t>) filed with the Securities and Exchange Commission (the “Commission”) on November 25, 2019, August 8, 2020 and August 11, 2025, respectively (the “Prior Registration Statements”), were filed. Upon the effectiveness of this Registration Statement, an aggregate of 10,932,620 shares of Common Stock will be registered for issuance from time to time under the Amended Equity Plan, inclusive of the Additional Shares. Pursuant to General Instruction E of Form S-8 regarding registration of Additional Securities, the contents of the Prior Registration Statements are incorporated herein by reference except to the extent supplemented, amended or superseded by the information set forth herein. Only those items of Form S-8 containing new information not contained in the Prior Registration Statement are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3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Incorporation of Documents by Reference.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been filed by the Registrant with the Commission are incorporated by reference in, and shall be deemed to be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hyperlink r:id="rId5">
        <w:r>
          <w:rPr>
            <w:rStyle w:val="InternetLink"/>
            <w:rFonts w:ascii="Times New Roman;Times;Serif" w:hAnsi="Times New Roman;Times;Serif"/>
            <w:b w:val="false"/>
            <w:i w:val="false"/>
            <w:caps w:val="false"/>
            <w:smallCaps w:val="false"/>
            <w:sz w:val="20"/>
          </w:rPr>
          <w:t>(a)</w:t>
        </w:r>
      </w:hyperlink>
      <w:r>
        <w:rPr>
          <w:rFonts w:ascii="Times New Roman;Times;Serif" w:hAnsi="Times New Roman;Times;Serif"/>
          <w:b w:val="false"/>
          <w:i w:val="false"/>
          <w:caps w:val="false"/>
          <w:smallCaps w:val="false"/>
          <w:sz w:val="20"/>
        </w:rPr>
        <w:t>            </w:t>
      </w:r>
      <w:hyperlink r:id="rId6">
        <w:r>
          <w:rPr>
            <w:rStyle w:val="InternetLink"/>
            <w:rFonts w:ascii="Times New Roman;Times;Serif" w:hAnsi="Times New Roman;Times;Serif"/>
            <w:b w:val="false"/>
            <w:i w:val="false"/>
            <w:caps w:val="false"/>
            <w:smallCaps w:val="false"/>
            <w:sz w:val="20"/>
          </w:rPr>
          <w:t>The Registrant’s Annual Report on Form 10-K for the fiscal year ended December 31, 2025, filed with the Commission on March 25, 2026 (the “2025 10-K”);</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(b)            The Registrant’s Quarterly Reports on Form 10-Q for the quarters ended March 31, 2026 and June 30, 2026, filed with the Commission on </w:t>
      </w:r>
      <w:hyperlink r:id="rId7">
        <w:r>
          <w:rPr>
            <w:rStyle w:val="InternetLink"/>
            <w:rFonts w:ascii="Times New Roman;Times;Serif" w:hAnsi="Times New Roman;Times;Serif"/>
            <w:b w:val="false"/>
            <w:i w:val="false"/>
            <w:caps w:val="false"/>
            <w:smallCaps w:val="false"/>
            <w:sz w:val="20"/>
          </w:rPr>
          <w:t>May 13, 2026</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August 11, 2026</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(b)           The Registrant’s Definitive Proxy Statement on Schedule 14A filed with the Commission on </w:t>
      </w:r>
      <w:hyperlink r:id="rId9">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to the extent incorporated by reference into the 2025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(c)           The Registrant’s Current Reports on Form 8-K (other than portions thereof furnished under Item 2.02 or Item 7.01 of Form 8-K and exhibits accompanying such reports that are related to such items) filed with the Commission on </w:t>
      </w:r>
      <w:hyperlink r:id="rId10">
        <w:r>
          <w:rPr>
            <w:rStyle w:val="InternetLink"/>
            <w:rFonts w:ascii="Times New Roman;Times;Serif" w:hAnsi="Times New Roman;Times;Serif"/>
            <w:b w:val="false"/>
            <w:i w:val="false"/>
            <w:caps w:val="false"/>
            <w:smallCaps w:val="false"/>
            <w:sz w:val="20"/>
          </w:rPr>
          <w:t>March 20,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11,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August 4, 2026</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pPr>
      <w:r>
        <w:rPr>
          <w:rFonts w:ascii="Times New Roman;Times;Serif" w:hAnsi="Times New Roman;Times;Serif"/>
          <w:b w:val="false"/>
          <w:i w:val="false"/>
          <w:caps w:val="false"/>
          <w:smallCaps w:val="false"/>
          <w:sz w:val="20"/>
        </w:rPr>
        <w:t xml:space="preserve">(d)            The description of the Registrant’s Common Stock contained in the Registrant’s Registration Statement on </w:t>
      </w:r>
      <w:hyperlink r:id="rId14">
        <w:r>
          <w:rPr>
            <w:rStyle w:val="InternetLink"/>
            <w:rFonts w:ascii="Times New Roman;Times;Serif" w:hAnsi="Times New Roman;Times;Serif"/>
            <w:b w:val="false"/>
            <w:i w:val="false"/>
            <w:caps w:val="false"/>
            <w:smallCaps w:val="false"/>
            <w:sz w:val="20"/>
          </w:rPr>
          <w:t>Form 8-A filed with the Commission on November 7, 2019 (File No. 001-39130)</w:t>
        </w:r>
      </w:hyperlink>
      <w:r>
        <w:rPr>
          <w:rFonts w:ascii="Times New Roman;Times;Serif" w:hAnsi="Times New Roman;Times;Serif"/>
          <w:b w:val="false"/>
          <w:i w:val="false"/>
          <w:caps w:val="false"/>
          <w:smallCaps w:val="false"/>
          <w:sz w:val="20"/>
        </w:rPr>
        <w:t>, together with any amendment thereto filed with the Commission for the purpose of updating such description;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documents subsequently filed by the Registrant pursuant to Sections 13(a), 13(c), 14 and 15(d) of the Securities Exchange Act of 1934, as amended,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Fourth Amended and Restated Certificate of Incorporation of TELA Bio, Inc. (incorporated herein by reference to Exhibit 3.1 to the Company’s Current Report on Form 8-K (File No. 001-39130) filed on November 19, 2019).</w:t>
              </w:r>
            </w:hyperlink>
          </w:p>
        </w:tc>
      </w:tr>
      <w:tr>
        <w:trPr/>
        <w:tc>
          <w:tcPr>
            <w:tcW w:w="725" w:type="dxa"/>
            <w:tcBorders/>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3.2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Certificate of Amendment to TELA Bio, Inc.’s Fourth Amended and Restated Certificate of Incorporation (incorporated herein by reference to Exhibit 3.1 to the Company’s Quarterly Report on Form 10-Q (File No. 001-39130) filed on August 11, 2025).</w:t>
              </w:r>
            </w:hyperlink>
          </w:p>
        </w:tc>
      </w:tr>
      <w:tr>
        <w:trPr/>
        <w:tc>
          <w:tcPr>
            <w:tcW w:w="725"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3.3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Third Amended and Restated Bylaws of TELA Bio, Inc. (incorporated herein by reference to Exhibit 3.1 to the Company’s Quarterly Report on Form 10-Q (File No. 001-39130) filed on November 13, 2023).</w:t>
              </w:r>
            </w:hyperlink>
          </w:p>
        </w:tc>
      </w:tr>
      <w:tr>
        <w:trPr/>
        <w:tc>
          <w:tcPr>
            <w:tcW w:w="725"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 xml:space="preserve">Form of Certificate of Common Stock (incorporated herein by reference to Exhibit 4.1 to the Company’s Registration Statement on Form S-1 (File No. 333-234217) filed on October 29, 2019). </w:t>
              </w:r>
            </w:hyperlink>
          </w:p>
        </w:tc>
      </w:tr>
      <w:tr>
        <w:trPr/>
        <w:tc>
          <w:tcPr>
            <w:tcW w:w="725" w:type="dxa"/>
            <w:tcBorders/>
            <w:tcMar>
              <w:bottom w:w="0" w:type="dxa"/>
            </w:tcMar>
            <w:vAlign w:val="center"/>
          </w:tcPr>
          <w:p>
            <w:pPr>
              <w:pStyle w:val="TableContents"/>
              <w:bidi w:val="0"/>
              <w:spacing w:before="0" w:after="283"/>
              <w:jc w:val="left"/>
              <w:rPr/>
            </w:pPr>
            <w:hyperlink w:anchor="tm2622862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862d1_ex5-1.htm">
              <w:r>
                <w:rPr>
                  <w:rStyle w:val="InternetLink"/>
                  <w:rFonts w:ascii="Times New Roman;Times;Serif" w:hAnsi="Times New Roman;Times;Serif"/>
                  <w:sz w:val="20"/>
                </w:rPr>
                <w:t>Opinion of Goodwin Procter LLP as to the legality of the securities being registered.</w:t>
              </w:r>
            </w:hyperlink>
          </w:p>
        </w:tc>
      </w:tr>
      <w:tr>
        <w:trPr/>
        <w:tc>
          <w:tcPr>
            <w:tcW w:w="725" w:type="dxa"/>
            <w:tcBorders/>
            <w:tcMar>
              <w:bottom w:w="0" w:type="dxa"/>
            </w:tcMar>
            <w:vAlign w:val="center"/>
          </w:tcPr>
          <w:p>
            <w:pPr>
              <w:pStyle w:val="TableContents"/>
              <w:bidi w:val="0"/>
              <w:spacing w:before="0" w:after="283"/>
              <w:jc w:val="left"/>
              <w:rPr/>
            </w:pPr>
            <w:hyperlink w:anchor="tm2622862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862d1_ex23-1.htm">
              <w:r>
                <w:rPr>
                  <w:rStyle w:val="InternetLink"/>
                  <w:rFonts w:ascii="Times New Roman;Times;Serif" w:hAnsi="Times New Roman;Times;Serif"/>
                  <w:sz w:val="20"/>
                </w:rPr>
                <w:t>Consent of KPMG LLP, independent registered public accounting firm for TELA Bio, Inc.</w:t>
              </w:r>
            </w:hyperlink>
          </w:p>
        </w:tc>
      </w:tr>
      <w:tr>
        <w:trPr/>
        <w:tc>
          <w:tcPr>
            <w:tcW w:w="725" w:type="dxa"/>
            <w:tcBorders/>
            <w:tcMar>
              <w:bottom w:w="0" w:type="dxa"/>
            </w:tcMar>
            <w:vAlign w:val="center"/>
          </w:tcPr>
          <w:p>
            <w:pPr>
              <w:pStyle w:val="TableContents"/>
              <w:bidi w:val="0"/>
              <w:spacing w:before="0" w:after="283"/>
              <w:jc w:val="left"/>
              <w:rPr/>
            </w:pPr>
            <w:hyperlink w:anchor="tm2622862d1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862d1_ex5-1.htm">
              <w:r>
                <w:rPr>
                  <w:rStyle w:val="InternetLink"/>
                  <w:rFonts w:ascii="Times New Roman;Times;Serif" w:hAnsi="Times New Roman;Times;Serif"/>
                  <w:sz w:val="20"/>
                </w:rPr>
                <w:t>Consent of Goodwin Procter LLP (contained in Exhibit 5.1).</w:t>
              </w:r>
            </w:hyperlink>
          </w:p>
        </w:tc>
      </w:tr>
      <w:tr>
        <w:trPr/>
        <w:tc>
          <w:tcPr>
            <w:tcW w:w="72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the signature page of the Registration Statement).</w:t>
              </w:r>
            </w:hyperlink>
          </w:p>
        </w:tc>
      </w:tr>
      <w:tr>
        <w:trPr/>
        <w:tc>
          <w:tcPr>
            <w:tcW w:w="725" w:type="dxa"/>
            <w:tcBorders/>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TELA Bio, Inc. Amended and Restated 2019 Equity Incentive Plan (incorporated by reference to exhibit 10.1 to the Company’s Current Report on Form 8-K filed on June 8, 2020).</w:t>
              </w:r>
            </w:hyperlink>
          </w:p>
        </w:tc>
      </w:tr>
      <w:tr>
        <w:trPr/>
        <w:tc>
          <w:tcPr>
            <w:tcW w:w="725" w:type="dxa"/>
            <w:tcBorders/>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Amendment No. 1 to TELA Bio, Inc. Amended and Restated 2019 Equity Incentive Plan (incorporated by reference to exhibit 99.2 to the Company’s Registration Statement on Form S-8 filed on August 11, 2025).</w:t>
              </w:r>
            </w:hyperlink>
          </w:p>
        </w:tc>
      </w:tr>
      <w:tr>
        <w:trPr/>
        <w:tc>
          <w:tcPr>
            <w:tcW w:w="725" w:type="dxa"/>
            <w:tcBorders/>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Amendment No. 2 to TELA Bio, Inc. Amended and Restated 2019 Equity Incentive Plan (incorporated by reference to exhibit 10.1 to the Company’s Current Report on Form 8-K filed on June 11, 2026).</w:t>
              </w:r>
            </w:hyperlink>
          </w:p>
        </w:tc>
      </w:tr>
      <w:tr>
        <w:trPr/>
        <w:tc>
          <w:tcPr>
            <w:tcW w:w="725" w:type="dxa"/>
            <w:tcBorders/>
            <w:tcMar>
              <w:bottom w:w="0" w:type="dxa"/>
            </w:tcMar>
            <w:vAlign w:val="center"/>
          </w:tcPr>
          <w:p>
            <w:pPr>
              <w:pStyle w:val="TableContents"/>
              <w:bidi w:val="0"/>
              <w:spacing w:before="0" w:after="283"/>
              <w:jc w:val="left"/>
              <w:rPr/>
            </w:pPr>
            <w:hyperlink r:id="rId29">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30">
              <w:r>
                <w:rPr>
                  <w:rStyle w:val="InternetLink"/>
                  <w:rFonts w:ascii="Times New Roman;Times;Serif" w:hAnsi="Times New Roman;Times;Serif"/>
                  <w:sz w:val="20"/>
                </w:rPr>
                <w:t>Form of TELA Bio, Inc. Amended and Restated 2019 Equity Incentive Plan Stock Option Grant Notice and Stock Option Agreement (incorporated by reference to exhibit 10.1 to the Company’s Quarterly Report on Form 10-Q, filed on May 11, 2022).</w:t>
              </w:r>
            </w:hyperlink>
          </w:p>
        </w:tc>
      </w:tr>
      <w:tr>
        <w:trPr/>
        <w:tc>
          <w:tcPr>
            <w:tcW w:w="725" w:type="dxa"/>
            <w:tcBorders/>
            <w:tcMar>
              <w:bottom w:w="0" w:type="dxa"/>
            </w:tcMar>
            <w:vAlign w:val="center"/>
          </w:tcPr>
          <w:p>
            <w:pPr>
              <w:pStyle w:val="TableContents"/>
              <w:bidi w:val="0"/>
              <w:spacing w:before="0" w:after="283"/>
              <w:jc w:val="left"/>
              <w:rPr/>
            </w:pPr>
            <w:hyperlink r:id="rId31">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32">
              <w:r>
                <w:rPr>
                  <w:rStyle w:val="InternetLink"/>
                  <w:rFonts w:ascii="Times New Roman;Times;Serif" w:hAnsi="Times New Roman;Times;Serif"/>
                  <w:sz w:val="20"/>
                </w:rPr>
                <w:t>Form of TELA Bio, Inc. Amended and Restated 2019 Equity Incentive Plan Restricted Stock Unit Grant Notice and Restricted Stock Unit Agreement (time-based vesting) (incorporated by reference to exhibit 10.2 to the Company’s Quarterly Report on Form 10-Q, filed on May 11, 2022).</w:t>
              </w:r>
            </w:hyperlink>
          </w:p>
        </w:tc>
      </w:tr>
      <w:tr>
        <w:trPr/>
        <w:tc>
          <w:tcPr>
            <w:tcW w:w="725" w:type="dxa"/>
            <w:tcBorders/>
            <w:tcMar>
              <w:bottom w:w="0" w:type="dxa"/>
            </w:tcMar>
            <w:vAlign w:val="center"/>
          </w:tcPr>
          <w:p>
            <w:pPr>
              <w:pStyle w:val="TableContents"/>
              <w:bidi w:val="0"/>
              <w:spacing w:before="0" w:after="283"/>
              <w:jc w:val="left"/>
              <w:rPr/>
            </w:pPr>
            <w:hyperlink r:id="rId33">
              <w:r>
                <w:rPr>
                  <w:rStyle w:val="InternetLink"/>
                  <w:rFonts w:ascii="Times New Roman;Times;Serif" w:hAnsi="Times New Roman;Times;Serif"/>
                  <w:sz w:val="20"/>
                </w:rPr>
                <w:t>99.6#</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34">
              <w:r>
                <w:rPr>
                  <w:rStyle w:val="InternetLink"/>
                  <w:rFonts w:ascii="Times New Roman;Times;Serif" w:hAnsi="Times New Roman;Times;Serif"/>
                  <w:sz w:val="20"/>
                </w:rPr>
                <w:t>Form of TELA Bio, Inc. Amended and Restated 2019 Equity Incentive Plan Restricted Stock Unit Grant Notice and Restricted Stock Unit Agreement (performance-based vesting) (incorporated by reference to exhibit 10.13 to the Company’s Annual Report on Form 10-K, filed on March 23, 2023).</w:t>
              </w:r>
            </w:hyperlink>
          </w:p>
        </w:tc>
      </w:tr>
      <w:tr>
        <w:trPr/>
        <w:tc>
          <w:tcPr>
            <w:tcW w:w="725" w:type="dxa"/>
            <w:tcBorders/>
            <w:tcMar>
              <w:bottom w:w="0" w:type="dxa"/>
            </w:tcMar>
            <w:vAlign w:val="center"/>
          </w:tcPr>
          <w:p>
            <w:pPr>
              <w:pStyle w:val="TableContents"/>
              <w:bidi w:val="0"/>
              <w:spacing w:before="0" w:after="283"/>
              <w:jc w:val="left"/>
              <w:rPr/>
            </w:pPr>
            <w:hyperlink w:anchor="tm2622862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862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85"/>
        <w:gridCol w:w="554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5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Filed herewith </w:t>
            </w:r>
          </w:p>
        </w:tc>
      </w:tr>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Denotes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2" w:name="a_001"/>
      <w:bookmarkEnd w:id="2"/>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Borough of Malvern, Commonwealth of Pennsylvania, on August 11, 2026.</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335"/>
        <w:gridCol w:w="3020"/>
        <w:gridCol w:w="75"/>
      </w:tblGrid>
      <w:tr>
        <w:trPr/>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TELA BIO,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Heather Getz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Heather Getz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hereby constitutes and appoints each of Heather Getz and Roberto Cuca as his or her true and lawful attorney-in-fact and agent with full power of substitution, for him or her in any and all capacities, to sign any and all amendments to this Registration Statement (including post-effective amendments),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1730"/>
        <w:gridCol w:w="60"/>
        <w:gridCol w:w="3875"/>
        <w:gridCol w:w="60"/>
        <w:gridCol w:w="1385"/>
      </w:tblGrid>
      <w:tr>
        <w:trPr/>
        <w:tc>
          <w:tcPr>
            <w:tcW w:w="1730"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Signature</w:t>
            </w: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Date</w:t>
            </w: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Heather Getz</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Heather Getz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Roberto Cuca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Chief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Corporate Secretary</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Roberto Cuca</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Megan Smeykal</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Accounting Officer and Controller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Megan Smeykal</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Joseph Capper</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Board of Directors</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Joseph Capper</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Guy Nohra</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Guy Nohra</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Guido Neels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Guido Neels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Paul Thomas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Paul Thomas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Betty Jo Rocchio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Betty Jo Rocchio</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11, 2026</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Plovanic</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622862d1_ex5-1.htm"/>
      <w:bookmarkStart w:id="4" w:name="kstm2622862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5510" w:type="dxa"/>
        <w:jc w:val="left"/>
        <w:tblInd w:w="0" w:type="dxa"/>
        <w:tblLayout w:type="fixed"/>
        <w:tblCellMar>
          <w:top w:w="0" w:type="dxa"/>
          <w:left w:w="0" w:type="dxa"/>
          <w:bottom w:w="0" w:type="dxa"/>
          <w:right w:w="0" w:type="dxa"/>
        </w:tblCellMar>
      </w:tblPr>
      <w:tblGrid>
        <w:gridCol w:w="3240"/>
        <w:gridCol w:w="2270"/>
      </w:tblGrid>
      <w:tr>
        <w:trPr/>
        <w:tc>
          <w:tcPr>
            <w:tcW w:w="324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0097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5"/>
                          <a:stretch>
                            <a:fillRect/>
                          </a:stretch>
                        </pic:blipFill>
                        <pic:spPr bwMode="auto">
                          <a:xfrm>
                            <a:off x="0" y="0"/>
                            <a:ext cx="2009775" cy="419100"/>
                          </a:xfrm>
                          <a:prstGeom prst="rect">
                            <a:avLst/>
                          </a:prstGeom>
                        </pic:spPr>
                      </pic:pic>
                    </a:graphicData>
                  </a:graphic>
                </wp:inline>
              </w:drawing>
            </w: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3025 John F Kennedy Blvd</w:t>
              <w:br/>
              <w:t>Philadelphia, PA 19104</w:t>
              <w:br/>
              <w:br/>
              <w:br/>
              <w:t>goodwinlaw.com</w:t>
              <w:br/>
              <w:t>+1 445 207 7800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 Bio,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Great Valley Parkway, Suite 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19355</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35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6695" w:type="dxa"/>
            <w:tcBorders/>
            <w:vAlign w:val="center"/>
          </w:tcPr>
          <w:p>
            <w:pPr>
              <w:pStyle w:val="TableContents"/>
              <w:bidi w:val="0"/>
              <w:spacing w:before="0" w:after="283"/>
              <w:jc w:val="both"/>
              <w:rPr>
                <w:u w:val="single"/>
              </w:rPr>
            </w:pPr>
            <w:r>
              <w:rPr>
                <w:u w:val="single"/>
              </w:rPr>
              <w:t>Securities Being Registered under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your counsel in connection with your filing of a Registration Statement on Form S-8 (the “Registration Statement”) pursuant to the Securities Act of 1933, as amended (the “Securities Act”), on or about the date hereof relating to an aggregate of 3,500,000 shares (the “Shares”) of Common Stock, par value $0.001 per share (“Common Stock”), of TELA Bio, Inc., a Delaware corporation (the “Company”), that may be issued pursuant to the TELA Bio, Inc. Amended and Restated 2019 Equity Incentive Plan, as amended by the Amendment No. 2, dated as of June 9, 2026 (collectively, the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when delivered against payment therefor in accordance with the terms of the 2019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Business Lawyer</w:t>
      </w:r>
      <w:r>
        <w:rPr>
          <w:rFonts w:ascii="Times New Roman;Times;Serif" w:hAnsi="Times New Roman;Times;Serif"/>
          <w:b w:val="false"/>
          <w:i w:val="false"/>
          <w:caps w:val="false"/>
          <w:smallCaps w:val="false"/>
          <w:sz w:val="20"/>
        </w:rPr>
        <w:t xml:space="preserve"> 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w:t>
        <w:br/>
        <w:t xml:space="preserve">August 11, 2026 </w:t>
        <w:b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 Goodwin Procter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22862d1_ex23-1.htm"/>
      <w:bookmarkStart w:id="6" w:name="kstm2622862d1_ex231"/>
      <w:bookmarkEnd w:id="5"/>
      <w:bookmarkEnd w:id="6"/>
      <w:r>
        <w:rPr/>
        <w:t> </w:t>
      </w:r>
      <w:r>
        <w:br w:type="page"/>
      </w:r>
    </w:p>
    <w:p>
      <w:pPr>
        <w:pStyle w:val="TextBody"/>
        <w:bidi w:val="0"/>
        <w:jc w:val="right"/>
        <w:rPr>
          <w:b/>
        </w:rPr>
      </w:pPr>
      <w:r>
        <w:rPr>
          <w:b/>
        </w:rPr>
        <w:t>Exhibit 23.1</w:t>
      </w:r>
    </w:p>
    <w:p>
      <w:pPr>
        <w:pStyle w:val="TextBody"/>
        <w:bidi w:val="0"/>
        <w:spacing w:before="0" w:after="283"/>
        <w:jc w:val="left"/>
        <w:rPr/>
      </w:pPr>
      <w:r>
        <w:rPr/>
        <w:t> </w:t>
      </w:r>
    </w:p>
    <w:tbl>
      <w:tblPr>
        <w:tblW w:w="4880" w:type="dxa"/>
        <w:jc w:val="left"/>
        <w:tblInd w:w="0" w:type="dxa"/>
        <w:tblLayout w:type="fixed"/>
        <w:tblCellMar>
          <w:top w:w="0" w:type="dxa"/>
          <w:left w:w="0" w:type="dxa"/>
          <w:bottom w:w="0" w:type="dxa"/>
          <w:right w:w="0" w:type="dxa"/>
        </w:tblCellMar>
      </w:tblPr>
      <w:tblGrid>
        <w:gridCol w:w="1665"/>
        <w:gridCol w:w="3215"/>
      </w:tblGrid>
      <w:tr>
        <w:trPr/>
        <w:tc>
          <w:tcPr>
            <w:tcW w:w="1665" w:type="dxa"/>
            <w:tcBorders/>
            <w:vAlign w:val="center"/>
          </w:tcPr>
          <w:p>
            <w:pPr>
              <w:pStyle w:val="TableContents"/>
              <w:bidi w:val="0"/>
              <w:spacing w:before="0" w:after="283"/>
              <w:jc w:val="left"/>
              <w:rPr/>
            </w:pPr>
            <w:r>
              <w:rPr/>
              <w:drawing>
                <wp:inline distT="0" distB="0" distL="0" distR="0">
                  <wp:extent cx="104775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6"/>
                          <a:stretch>
                            <a:fillRect/>
                          </a:stretch>
                        </pic:blipFill>
                        <pic:spPr bwMode="auto">
                          <a:xfrm>
                            <a:off x="0" y="0"/>
                            <a:ext cx="1047750" cy="476250"/>
                          </a:xfrm>
                          <a:prstGeom prst="rect">
                            <a:avLst/>
                          </a:prstGeom>
                        </pic:spPr>
                      </pic:pic>
                    </a:graphicData>
                  </a:graphic>
                </wp:inline>
              </w:drawing>
            </w:r>
          </w:p>
        </w:tc>
        <w:tc>
          <w:tcPr>
            <w:tcW w:w="3215" w:type="dxa"/>
            <w:tcBorders/>
            <w:vAlign w:val="center"/>
          </w:tcPr>
          <w:p>
            <w:pPr>
              <w:pStyle w:val="TableContents"/>
              <w:bidi w:val="0"/>
              <w:spacing w:before="0" w:after="283"/>
              <w:jc w:val="left"/>
              <w:rPr/>
            </w:pPr>
            <w:r>
              <w:rPr/>
              <w:t> </w:t>
            </w:r>
          </w:p>
        </w:tc>
      </w:tr>
      <w:tr>
        <w:trPr/>
        <w:tc>
          <w:tcPr>
            <w:tcW w:w="166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xml:space="preserve">KPMG LLP </w:t>
              <w:br/>
              <w:t>Suite 4000</w:t>
              <w:br/>
              <w:t>1735 Market Street</w:t>
              <w:br/>
              <w:t>Philadelphia, PA 19103-7501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March 25, 2026, with respect to the consolidated financial statements of TELA Bio, Inc. and subsidiaries,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br/>
        <w:t>August 11, 2026</w:t>
      </w:r>
    </w:p>
    <w:p>
      <w:pPr>
        <w:pStyle w:val="TextBody"/>
        <w:bidi w:val="0"/>
        <w:spacing w:before="0" w:after="0"/>
        <w:ind w:left="0" w:right="0" w:hanging="0"/>
        <w:jc w:val="left"/>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75"/>
        <w:gridCol w:w="7985"/>
      </w:tblGrid>
      <w:tr>
        <w:trPr/>
        <w:tc>
          <w:tcPr>
            <w:tcW w:w="75" w:type="dxa"/>
            <w:tcBorders/>
            <w:vAlign w:val="center"/>
          </w:tcPr>
          <w:p>
            <w:pPr>
              <w:pStyle w:val="TableContents"/>
              <w:bidi w:val="0"/>
              <w:spacing w:before="0" w:after="283"/>
              <w:jc w:val="left"/>
              <w:rPr>
                <w:color w:val="7F7F7F"/>
              </w:rPr>
            </w:pPr>
            <w:r>
              <w:rPr>
                <w:color w:val="7F7F7F"/>
              </w:rPr>
              <w:t> </w:t>
            </w:r>
          </w:p>
        </w:tc>
        <w:tc>
          <w:tcPr>
            <w:tcW w:w="7985" w:type="dxa"/>
            <w:tcBorders/>
            <w:vAlign w:val="center"/>
          </w:tcPr>
          <w:p>
            <w:pPr>
              <w:pStyle w:val="TableContents"/>
              <w:bidi w:val="0"/>
              <w:spacing w:before="0" w:after="283"/>
              <w:jc w:val="left"/>
              <w:rPr/>
            </w:pPr>
            <w:r>
              <w:rPr/>
              <w:t xml:space="preserve">KPMG LLP, a Delaware limited liability partnership, and its subsidiaries are part of </w:t>
              <w:br/>
              <w:t xml:space="preserve">the KPMG global organization of independent member firms affiliated with KPMG </w:t>
              <w:br/>
              <w:t>International Limited, a private English company limited by guarantee.</w:t>
            </w:r>
          </w:p>
        </w:tc>
      </w:tr>
    </w:tbl>
    <w:p>
      <w:pPr>
        <w:pStyle w:val="TextBody"/>
        <w:bidi w:val="0"/>
        <w:spacing w:before="0" w:after="0"/>
        <w:ind w:left="0" w:right="0" w:hanging="0"/>
        <w:jc w:val="left"/>
        <w:rPr>
          <w:caps w:val="false"/>
          <w:smallCaps w:val="false"/>
          <w:color w:val="7F7F7F"/>
        </w:rPr>
      </w:pPr>
      <w:r>
        <w:rPr>
          <w:caps w:val="false"/>
          <w:smallCaps w:val="false"/>
          <w:color w:val="7F7F7F"/>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22862d1_ex-filingfees.htm"/>
      <w:bookmarkStart w:id="8" w:name="kstm2622862d1_exfilingfees"/>
      <w:bookmarkStart w:id="9" w:name="tm2622862d1_ex-filingfees.htm"/>
      <w:bookmarkStart w:id="10" w:name="kstm2622862d1_exfilingfees"/>
      <w:bookmarkEnd w:id="9"/>
      <w:bookmarkEnd w:id="10"/>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TELA Bio,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4"/>
        <w:gridCol w:w="1301"/>
        <w:gridCol w:w="1210"/>
        <w:gridCol w:w="1244"/>
        <w:gridCol w:w="1603"/>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3,500,000 </w:t>
            </w:r>
          </w:p>
        </w:tc>
        <w:tc>
          <w:tcPr>
            <w:tcW w:w="1244" w:type="dxa"/>
            <w:tcBorders/>
            <w:shd w:fill="E7E7E2" w:val="clear"/>
            <w:vAlign w:val="center"/>
          </w:tcPr>
          <w:p>
            <w:pPr>
              <w:pStyle w:val="TableContents"/>
              <w:bidi w:val="0"/>
              <w:spacing w:before="0" w:after="283"/>
              <w:jc w:val="right"/>
              <w:rPr/>
            </w:pPr>
            <w:r>
              <w:rPr/>
              <w:t xml:space="preserve">$ 0.81 </w:t>
            </w:r>
          </w:p>
        </w:tc>
        <w:tc>
          <w:tcPr>
            <w:tcW w:w="1603" w:type="dxa"/>
            <w:tcBorders/>
            <w:shd w:fill="E7E7E2" w:val="clear"/>
            <w:vAlign w:val="center"/>
          </w:tcPr>
          <w:p>
            <w:pPr>
              <w:pStyle w:val="TableContents"/>
              <w:bidi w:val="0"/>
              <w:spacing w:before="0" w:after="283"/>
              <w:jc w:val="right"/>
              <w:rPr/>
            </w:pPr>
            <w:r>
              <w:rPr/>
              <w:t xml:space="preserve">$ 2,835,000.00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$ 391.51 </w:t>
            </w:r>
          </w:p>
        </w:tc>
      </w:tr>
      <w:tr>
        <w:trPr/>
        <w:tc>
          <w:tcPr>
            <w:tcW w:w="4789"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$ 2,835,000.00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$ 391.51 </w:t>
            </w:r>
          </w:p>
        </w:tc>
      </w:tr>
      <w:tr>
        <w:trPr/>
        <w:tc>
          <w:tcPr>
            <w:tcW w:w="4789"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9"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4" w:name="NetFeeAmt"/>
            <w:bookmarkEnd w:id="14"/>
            <w:r>
              <w:rPr/>
              <w:t xml:space="preserve">$ 391.51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416(a) promulgated under the Securities Act of 1933, as amended (the "Securities Act"), this Registration Statement on Form S-8 also covers an indeterminate number of additional shares of common stock, par value per share $0.001 (the "Common Stock"), of TELA Bio, Inc. (the "Registrant") issuable by reason of any stock dividend, stock split, recapitalization or other similar transaction effected without the receipt of consideration which results in an increase in the number of the outstanding shares of Common Stock of the Registrant. (2) Represents shares of Common Stock that are issuable under the Amendment No. 2 to the TELA Bio, Inc. Amended and Restated 2019 Equity Incentive Plan, which was adopted by the Registrant's Board of Directors on April 8, 2026 and approved by the Registrant's stockholders at the 2026 Annual Meeting of Stockholders on June 9, 2026. (3) Estimated pursuant to Rule 457(c) and Rule 457(h) of the Securities Act solely for the purpose of calculating the registration fee. The proposed maximum offering price per share and proposed maximum offering price are based upon the average of the high and low prices of the Common Stock as reported on The Nasdaq Global Market on August 4,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1921/000110465919066854/a19-23526_1s8.htm" TargetMode="External"/><Relationship Id="rId3" Type="http://schemas.openxmlformats.org/officeDocument/2006/relationships/hyperlink" Target="https://www.sec.gov/Archives/edgar/data/1561921/000110465920094784/tm2026521d1_s8.htm" TargetMode="External"/><Relationship Id="rId4" Type="http://schemas.openxmlformats.org/officeDocument/2006/relationships/hyperlink" Target="https://www.sec.gov/Archives/edgar/data/1561921/000110465925076232/tm2522741d1_s8.htm" TargetMode="External"/><Relationship Id="rId5" Type="http://schemas.openxmlformats.org/officeDocument/2006/relationships/hyperlink" Target="https://www.sec.gov/ix?doc=/Archives/edgar/data/1561921/000110465926034507/tela-20251231x10k.htm" TargetMode="External"/><Relationship Id="rId6" Type="http://schemas.openxmlformats.org/officeDocument/2006/relationships/hyperlink" Target="https://www.sec.gov/ix?doc=/Archives/edgar/data/1561921/000110465926034507/tela-20251231x10k.htm" TargetMode="External"/><Relationship Id="rId7" Type="http://schemas.openxmlformats.org/officeDocument/2006/relationships/hyperlink" Target="https://www.sec.gov/ix?doc=/Archives/edgar/data/1561921/000110465926060234/tela-20260331x10q.htm" TargetMode="External"/><Relationship Id="rId8" Type="http://schemas.openxmlformats.org/officeDocument/2006/relationships/hyperlink" Target="https://www.sec.gov/ix?doc=/Archives/edgar/data/0001561921/000110465926094039/tela-20260630x10q.htm" TargetMode="External"/><Relationship Id="rId9" Type="http://schemas.openxmlformats.org/officeDocument/2006/relationships/hyperlink" Target="https://www.sec.gov/ix?doc=/Archives/edgar/data/1561921/000110465926053117/tm261452-1_def14a.htm" TargetMode="External"/><Relationship Id="rId10" Type="http://schemas.openxmlformats.org/officeDocument/2006/relationships/hyperlink" Target="https://www.sec.gov/ix?doc=/Archives/edgar/data/1561921/000110465926032697/tm269374d1_8k.htm" TargetMode="External"/><Relationship Id="rId11" Type="http://schemas.openxmlformats.org/officeDocument/2006/relationships/hyperlink" Target="https://www.sec.gov/ix?doc=/Archives/edgar/data/1561921/000110465926053102/tm2612982d1_8k.htm" TargetMode="External"/><Relationship Id="rId12" Type="http://schemas.openxmlformats.org/officeDocument/2006/relationships/hyperlink" Target="https://www.sec.gov/ix?doc=/Archives/edgar/data/1561921/000110465926072931/tm2617369d1_8k.htm" TargetMode="External"/><Relationship Id="rId13" Type="http://schemas.openxmlformats.org/officeDocument/2006/relationships/hyperlink" Target="https://www.sec.gov/ix?doc=/Archives/edgar/data/1561921/000110465926090056/tm2622121d1_8k.htm" TargetMode="External"/><Relationship Id="rId14" Type="http://schemas.openxmlformats.org/officeDocument/2006/relationships/hyperlink" Target="https://www.sec.gov/Archives/edgar/data/1561921/000110465919060945/a19-16745_118a12b.htm" TargetMode="External"/><Relationship Id="rId15" Type="http://schemas.openxmlformats.org/officeDocument/2006/relationships/hyperlink" Target="https://www.sec.gov/Archives/edgar/data/1561921/000110465919065432/a19-23314_1ex3d1.htm" TargetMode="External"/><Relationship Id="rId16" Type="http://schemas.openxmlformats.org/officeDocument/2006/relationships/hyperlink" Target="https://www.sec.gov/Archives/edgar/data/1561921/000110465919065432/a19-23314_1ex3d1.htm" TargetMode="External"/><Relationship Id="rId17" Type="http://schemas.openxmlformats.org/officeDocument/2006/relationships/hyperlink" Target="https://www.sec.gov/Archives/edgar/data/1561921/000155837025011052/tela-20250630xex3d1.htm" TargetMode="External"/><Relationship Id="rId18" Type="http://schemas.openxmlformats.org/officeDocument/2006/relationships/hyperlink" Target="https://www.sec.gov/Archives/edgar/data/1561921/000155837025011052/tela-20250630xex3d1.htm" TargetMode="External"/><Relationship Id="rId19" Type="http://schemas.openxmlformats.org/officeDocument/2006/relationships/hyperlink" Target="https://www.sec.gov/Archives/edgar/data/1561921/000155837023018822/tela-20230930xex3d1.htm" TargetMode="External"/><Relationship Id="rId20" Type="http://schemas.openxmlformats.org/officeDocument/2006/relationships/hyperlink" Target="https://www.sec.gov/Archives/edgar/data/1561921/000155837023018822/tela-20230930xex3d1.htm" TargetMode="External"/><Relationship Id="rId21" Type="http://schemas.openxmlformats.org/officeDocument/2006/relationships/hyperlink" Target="https://www.sec.gov/Archives/edgar/data/1561921/000104746919005938/a2239923zex-4_1.htm" TargetMode="External"/><Relationship Id="rId22" Type="http://schemas.openxmlformats.org/officeDocument/2006/relationships/hyperlink" Target="https://www.sec.gov/Archives/edgar/data/1561921/000104746919005938/a2239923zex-4_1.htm" TargetMode="External"/><Relationship Id="rId23" Type="http://schemas.openxmlformats.org/officeDocument/2006/relationships/hyperlink" Target="https://www.sec.gov/Archives/edgar/data/1561921/000110465920070850/tm2021946d1_ex10-1.htm" TargetMode="External"/><Relationship Id="rId24" Type="http://schemas.openxmlformats.org/officeDocument/2006/relationships/hyperlink" Target="https://www.sec.gov/Archives/edgar/data/1561921/000110465920070850/tm2021946d1_ex10-1.htm" TargetMode="External"/><Relationship Id="rId25" Type="http://schemas.openxmlformats.org/officeDocument/2006/relationships/hyperlink" Target="https://www.sec.gov/Archives/edgar/data/1561921/000110465925076232/tm2522741d1_ex99-2.htm" TargetMode="External"/><Relationship Id="rId26" Type="http://schemas.openxmlformats.org/officeDocument/2006/relationships/hyperlink" Target="https://www.sec.gov/Archives/edgar/data/1561921/000110465925076232/tm2522741d1_ex99-2.htm" TargetMode="External"/><Relationship Id="rId27" Type="http://schemas.openxmlformats.org/officeDocument/2006/relationships/hyperlink" Target="https://www.sec.gov/Archives/edgar/data/1561921/000110465926072931/tm2617369d1_ex10-1.htm" TargetMode="External"/><Relationship Id="rId28" Type="http://schemas.openxmlformats.org/officeDocument/2006/relationships/hyperlink" Target="https://www.sec.gov/Archives/edgar/data/1561921/000110465926072931/tm2617369d1_ex10-1.htm" TargetMode="External"/><Relationship Id="rId29" Type="http://schemas.openxmlformats.org/officeDocument/2006/relationships/hyperlink" Target="https://www.sec.gov/Archives/edgar/data/1561921/000155837022008301/tela-20220331xex10d1.htm" TargetMode="External"/><Relationship Id="rId30" Type="http://schemas.openxmlformats.org/officeDocument/2006/relationships/hyperlink" Target="https://www.sec.gov/Archives/edgar/data/1561921/000155837022008301/tela-20220331xex10d1.htm" TargetMode="External"/><Relationship Id="rId31" Type="http://schemas.openxmlformats.org/officeDocument/2006/relationships/hyperlink" Target="https://www.sec.gov/Archives/edgar/data/1561921/000155837022008301/tela-20220331xex10d2.htm" TargetMode="External"/><Relationship Id="rId32" Type="http://schemas.openxmlformats.org/officeDocument/2006/relationships/hyperlink" Target="https://www.sec.gov/Archives/edgar/data/1561921/000155837022008301/tela-20220331xex10d2.htm" TargetMode="External"/><Relationship Id="rId33" Type="http://schemas.openxmlformats.org/officeDocument/2006/relationships/hyperlink" Target="https://www.sec.gov/Archives/edgar/data/1561921/000155837023004468/tela-20221231xex10d13.htm" TargetMode="External"/><Relationship Id="rId34" Type="http://schemas.openxmlformats.org/officeDocument/2006/relationships/hyperlink" Target="https://www.sec.gov/Archives/edgar/data/1561921/000155837023004468/tela-20221231xex10d13.htm" TargetMode="External"/><Relationship Id="rId35" Type="http://schemas.openxmlformats.org/officeDocument/2006/relationships/image" Target="media/image1.jpeg"/><Relationship Id="rId36" Type="http://schemas.openxmlformats.org/officeDocument/2006/relationships/image" Target="media/image2.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2649</Words>
  <Characters>14163</Characters>
  <CharactersWithSpaces>16966</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