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609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60959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NOHRA GUY P</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TELA Bio,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TELA</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80" w:type="dxa"/>
            <w:vAlign w:val="bottom"/>
            <w:tcBorders>
              <w:bottom w:val="single" w:sz="8" w:color="0000EE"/>
            </w:tcBorders>
          </w:tcPr>
          <w:p>
            <w:pPr>
              <w:spacing w:after="0"/>
              <w:rPr>
                <w:sz w:val="6"/>
                <w:szCs w:val="6"/>
                <w:color w:val="auto"/>
              </w:rPr>
            </w:pPr>
          </w:p>
        </w:tc>
        <w:tc>
          <w:tcPr>
            <w:tcW w:w="24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10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4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104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4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06/09/2026</w:t>
            </w:r>
          </w:p>
        </w:tc>
        <w:tc>
          <w:tcPr>
            <w:tcW w:w="248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TELA BIO, INC.</w:t>
            </w:r>
          </w:p>
        </w:tc>
        <w:tc>
          <w:tcPr>
            <w:tcW w:w="1200" w:type="dxa"/>
            <w:vAlign w:val="bottom"/>
          </w:tcPr>
          <w:p>
            <w:pPr>
              <w:spacing w:after="0"/>
              <w:rPr>
                <w:sz w:val="10"/>
                <w:szCs w:val="10"/>
                <w:color w:val="auto"/>
              </w:rPr>
            </w:pPr>
          </w:p>
        </w:tc>
        <w:tc>
          <w:tcPr>
            <w:tcW w:w="1440" w:type="dxa"/>
            <w:vAlign w:val="bottom"/>
            <w:gridSpan w:val="3"/>
            <w:vMerge w:val="continue"/>
          </w:tcPr>
          <w:p>
            <w:pPr>
              <w:spacing w:after="0"/>
              <w:rPr>
                <w:sz w:val="10"/>
                <w:szCs w:val="10"/>
                <w:color w:val="auto"/>
              </w:rPr>
            </w:pPr>
          </w:p>
        </w:tc>
        <w:tc>
          <w:tcPr>
            <w:tcW w:w="24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1 GREAT VALLEY PARKWAY, SUITE 24</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80" w:type="dxa"/>
            <w:vAlign w:val="bottom"/>
            <w:tcBorders>
              <w:bottom w:val="single" w:sz="8" w:color="2C2C2C"/>
            </w:tcBorders>
          </w:tcPr>
          <w:p>
            <w:pPr>
              <w:spacing w:after="0"/>
              <w:rPr>
                <w:sz w:val="11"/>
                <w:szCs w:val="11"/>
                <w:color w:val="auto"/>
              </w:rPr>
            </w:pPr>
          </w:p>
        </w:tc>
        <w:tc>
          <w:tcPr>
            <w:tcW w:w="248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MALVERN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PA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19355</w:t>
            </w:r>
          </w:p>
        </w:tc>
      </w:tr>
      <w:tr>
        <w:trPr>
          <w:trHeight w:val="149"/>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20" w:type="dxa"/>
            <w:vAlign w:val="bottom"/>
          </w:tcPr>
          <w:p>
            <w:pPr>
              <w:ind w:left="180"/>
              <w:spacing w:after="0" w:line="129" w:lineRule="exact"/>
              <w:rPr>
                <w:sz w:val="20"/>
                <w:szCs w:val="20"/>
                <w:color w:val="auto"/>
              </w:rPr>
            </w:pPr>
            <w:r>
              <w:rPr>
                <w:rFonts w:ascii="Arial" w:cs="Arial" w:eastAsia="Arial" w:hAnsi="Arial"/>
                <w:sz w:val="12"/>
                <w:szCs w:val="12"/>
                <w:b w:val="1"/>
                <w:bCs w:val="1"/>
                <w:color w:val="auto"/>
                <w:w w:val="99"/>
              </w:rPr>
              <w:t>(A) or</w:t>
            </w: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06/09/2026</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w w:val="91"/>
              </w:rPr>
              <w:t>11,925</w:t>
            </w:r>
            <w:r>
              <w:rPr>
                <w:rFonts w:ascii="Times New Roman" w:cs="Times New Roman" w:eastAsia="Times New Roman" w:hAnsi="Times New Roman"/>
                <w:sz w:val="21"/>
                <w:szCs w:val="21"/>
                <w:color w:val="008000"/>
                <w:w w:val="91"/>
                <w:vertAlign w:val="superscript"/>
              </w:rPr>
              <w:t>(1)</w:t>
            </w:r>
          </w:p>
        </w:tc>
        <w:tc>
          <w:tcPr>
            <w:tcW w:w="5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4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11,925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06/09/2026</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w w:val="91"/>
              </w:rPr>
              <w:t>11,675</w:t>
            </w:r>
            <w:r>
              <w:rPr>
                <w:rFonts w:ascii="Times New Roman" w:cs="Times New Roman" w:eastAsia="Times New Roman" w:hAnsi="Times New Roman"/>
                <w:sz w:val="21"/>
                <w:szCs w:val="21"/>
                <w:color w:val="008000"/>
                <w:w w:val="91"/>
                <w:vertAlign w:val="superscript"/>
              </w:rPr>
              <w:t>(2)</w:t>
            </w:r>
          </w:p>
        </w:tc>
        <w:tc>
          <w:tcPr>
            <w:tcW w:w="5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4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23,600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1"/>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0.935</w:t>
            </w: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3"/>
                <w:szCs w:val="13"/>
                <w:color w:val="0000FF"/>
              </w:rPr>
              <w:t>06/09/2026</w:t>
            </w:r>
          </w:p>
        </w:tc>
        <w:tc>
          <w:tcPr>
            <w:tcW w:w="1140" w:type="dxa"/>
            <w:vAlign w:val="bottom"/>
          </w:tcPr>
          <w:p>
            <w:pPr>
              <w:spacing w:after="0"/>
              <w:rPr>
                <w:sz w:val="16"/>
                <w:szCs w:val="16"/>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17,550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06/09/2036</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2"/>
              <w:spacing w:after="0" w:line="194" w:lineRule="exact"/>
              <w:rPr>
                <w:sz w:val="20"/>
                <w:szCs w:val="20"/>
                <w:color w:val="auto"/>
              </w:rPr>
            </w:pPr>
            <w:r>
              <w:rPr>
                <w:rFonts w:ascii="Times New Roman" w:cs="Times New Roman" w:eastAsia="Times New Roman" w:hAnsi="Times New Roman"/>
                <w:sz w:val="17"/>
                <w:szCs w:val="17"/>
                <w:color w:val="0000FF"/>
                <w:w w:val="94"/>
              </w:rPr>
              <w:t>17,550</w:t>
            </w:r>
          </w:p>
        </w:tc>
        <w:tc>
          <w:tcPr>
            <w:tcW w:w="74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17,550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0.935</w:t>
            </w: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3"/>
                <w:szCs w:val="13"/>
                <w:color w:val="0000FF"/>
              </w:rPr>
              <w:t>06/09/2026</w:t>
            </w:r>
          </w:p>
        </w:tc>
        <w:tc>
          <w:tcPr>
            <w:tcW w:w="1140" w:type="dxa"/>
            <w:vAlign w:val="bottom"/>
          </w:tcPr>
          <w:p>
            <w:pPr>
              <w:spacing w:after="0"/>
              <w:rPr>
                <w:sz w:val="16"/>
                <w:szCs w:val="16"/>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17,335</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06/09/2036</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2"/>
              <w:spacing w:after="0" w:line="194" w:lineRule="exact"/>
              <w:rPr>
                <w:sz w:val="20"/>
                <w:szCs w:val="20"/>
                <w:color w:val="auto"/>
              </w:rPr>
            </w:pPr>
            <w:r>
              <w:rPr>
                <w:rFonts w:ascii="Times New Roman" w:cs="Times New Roman" w:eastAsia="Times New Roman" w:hAnsi="Times New Roman"/>
                <w:sz w:val="17"/>
                <w:szCs w:val="17"/>
                <w:color w:val="0000FF"/>
                <w:w w:val="94"/>
              </w:rPr>
              <w:t>17,335</w:t>
            </w:r>
          </w:p>
        </w:tc>
        <w:tc>
          <w:tcPr>
            <w:tcW w:w="74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17,335</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restricted stock units will vest in three equal annual installments beginning on June 9, 2027, in each case subject to the Reporting Person's continued service through the applicable vesting date.</w:t>
      </w:r>
    </w:p>
    <w:p>
      <w:pPr>
        <w:spacing w:after="0" w:line="43" w:lineRule="exact"/>
        <w:rPr>
          <w:rFonts w:ascii="Times New Roman" w:cs="Times New Roman" w:eastAsia="Times New Roman" w:hAnsi="Times New Roman"/>
          <w:sz w:val="13"/>
          <w:szCs w:val="13"/>
          <w:color w:val="008000"/>
        </w:rPr>
      </w:pPr>
    </w:p>
    <w:p>
      <w:pPr>
        <w:ind w:left="40" w:right="32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restricted stock units vest on the earlier of (a) June 9, 2027, (b) the next annual meeting of stockholders, or (c) the occurrence of a Change in Control (as defined in the Issuer's Amended and Restated 2019 Equity Incentive Plan), in each case subject to the Reporting Person's continued service through the applicable vesting date.</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in 36 equal monthly installments on each monthly anniversary of June 9, 2026, in each case subject to the Reporting Person's continued service through the applicable vesting date.</w:t>
      </w:r>
    </w:p>
    <w:p>
      <w:pPr>
        <w:spacing w:after="0" w:line="43" w:lineRule="exact"/>
        <w:rPr>
          <w:rFonts w:ascii="Times New Roman" w:cs="Times New Roman" w:eastAsia="Times New Roman" w:hAnsi="Times New Roman"/>
          <w:sz w:val="13"/>
          <w:szCs w:val="13"/>
          <w:color w:val="008000"/>
        </w:rPr>
      </w:pPr>
    </w:p>
    <w:p>
      <w:pPr>
        <w:ind w:left="40" w:right="4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on the earlier of (a) June 9, 2027, (b) the next annual meeting of stockholders, or (c) the occurrence of a Change in Control (as defined in the Issuer's Amended and Restated 2019 Equity Incentive Plan), in each case subject to the Reporting Person's continued service through the applicable vesting date.</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Megan Smeykal, Attorney-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06/11/2026</w:t>
            </w:r>
          </w:p>
        </w:tc>
        <w:tc>
          <w:tcPr>
            <w:tcW w:w="0" w:type="dxa"/>
            <w:vAlign w:val="bottom"/>
          </w:tcPr>
          <w:p>
            <w:pPr>
              <w:spacing w:after="0"/>
              <w:rPr>
                <w:sz w:val="1"/>
                <w:szCs w:val="1"/>
                <w:color w:val="auto"/>
              </w:rPr>
            </w:pPr>
          </w:p>
        </w:tc>
      </w:tr>
      <w:tr>
        <w:trPr>
          <w:trHeight w:val="88"/>
        </w:trPr>
        <w:tc>
          <w:tcPr>
            <w:tcW w:w="202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in-Fact</w:t>
            </w:r>
          </w:p>
        </w:tc>
        <w:tc>
          <w:tcPr>
            <w:tcW w:w="1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20" w:type="dxa"/>
            <w:vAlign w:val="bottom"/>
            <w:gridSpan w:val="2"/>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198330" TargetMode="External"/><Relationship Id="rId14" Type="http://schemas.openxmlformats.org/officeDocument/2006/relationships/hyperlink" Target="http://www.sec.gov/cgi-bin/browse-edgar?action=getcompany&amp;CIK=00015619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2026-06-11T17:05:12Z</dcterms:created>
  <dcterms:modified xsi:type="dcterms:W3CDTF">2026-06-11T17:05:12Z</dcterms:modified>
</cp:coreProperties>
</file>